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pPr>
        <w:spacing w:before="156" w:line="366" w:lineRule="auto"/>
        <w:ind w:left="1966" w:right="713" w:hanging="1221"/>
        <w:jc w:val="center"/>
        <w:rPr>
          <w:rFonts w:ascii="仿宋" w:hAnsi="仿宋" w:eastAsia="仿宋" w:cs="仿宋"/>
          <w:sz w:val="48"/>
          <w:szCs w:val="48"/>
        </w:rPr>
      </w:pPr>
      <w:bookmarkStart w:id="0" w:name="_GoBack"/>
      <w:bookmarkEnd w:id="0"/>
      <w:r>
        <w:rPr>
          <w:rFonts w:hint="eastAsia" w:eastAsia="仿宋" w:cs="Arial"/>
          <w:sz w:val="48"/>
          <w:szCs w:val="48"/>
          <w:lang w:val="en-US" w:eastAsia="zh-CN"/>
          <w14:textOutline w14:w="6096" w14:cap="flat" w14:cmpd="sng">
            <w14:solidFill>
              <w14:srgbClr w14:val="000000"/>
            </w14:solidFill>
            <w14:prstDash w14:val="solid"/>
            <w14:miter w14:val="0"/>
          </w14:textOutline>
        </w:rPr>
        <w:t>175吨脂肪粉</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QJKJ-CG-ZFF-20240301</w:t>
      </w:r>
    </w:p>
    <w:p>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385" w:bottom="0" w:left="1729"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5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59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59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r>
              <w:rPr>
                <w:rFonts w:hint="eastAsia" w:ascii="仿宋" w:hAnsi="仿宋" w:eastAsia="仿宋" w:cs="仿宋"/>
                <w:sz w:val="24"/>
                <w:szCs w:val="24"/>
                <w:vertAlign w:val="baseli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59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175吨脂肪粉</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59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 xml:space="preserve">包含甘州区石岗墩开发区、临泽县、高台县）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59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r>
              <w:rPr>
                <w:rFonts w:hint="eastAsia" w:ascii="仿宋" w:hAnsi="仿宋" w:eastAsia="仿宋" w:cs="仿宋"/>
                <w:color w:val="0000FF"/>
                <w:spacing w:val="-11"/>
                <w:sz w:val="24"/>
                <w:szCs w:val="24"/>
                <w:lang w:val="en-US" w:eastAsia="zh-CN"/>
              </w:rPr>
              <w:t>接受一车多卸</w:t>
            </w:r>
            <w:r>
              <w:rPr>
                <w:rFonts w:hint="eastAsia" w:ascii="仿宋" w:hAnsi="仿宋" w:eastAsia="仿宋" w:cs="仿宋"/>
                <w:spacing w:val="-11"/>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59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175吨脂肪粉</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5985"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三证合一代码证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w:t>
            </w:r>
            <w:r>
              <w:rPr>
                <w:rFonts w:hint="eastAsia" w:ascii="仿宋" w:hAnsi="仿宋" w:eastAsia="仿宋" w:cs="仿宋"/>
                <w:spacing w:val="8"/>
                <w:sz w:val="23"/>
                <w:szCs w:val="23"/>
                <w:lang w:eastAsia="zh-CN"/>
              </w:rPr>
              <w:t>（</w:t>
            </w:r>
            <w:r>
              <w:rPr>
                <w:rFonts w:ascii="仿宋" w:hAnsi="仿宋" w:eastAsia="仿宋" w:cs="仿宋"/>
                <w:spacing w:val="8"/>
                <w:sz w:val="23"/>
                <w:szCs w:val="23"/>
              </w:rPr>
              <w:t>正反复</w:t>
            </w:r>
            <w:r>
              <w:rPr>
                <w:rFonts w:hint="eastAsia" w:ascii="仿宋" w:hAnsi="仿宋" w:eastAsia="仿宋" w:cs="仿宋"/>
                <w:spacing w:val="8"/>
                <w:sz w:val="23"/>
                <w:szCs w:val="23"/>
                <w:lang w:eastAsia="zh-CN"/>
              </w:rPr>
              <w:t>）</w:t>
            </w:r>
            <w:r>
              <w:rPr>
                <w:rFonts w:ascii="仿宋" w:hAnsi="仿宋" w:eastAsia="仿宋" w:cs="仿宋"/>
                <w:spacing w:val="3"/>
                <w:sz w:val="23"/>
                <w:szCs w:val="23"/>
              </w:rPr>
              <w:t xml:space="preserve"> 、被委托人身份证</w:t>
            </w:r>
            <w:r>
              <w:rPr>
                <w:rFonts w:hint="eastAsia" w:ascii="仿宋" w:hAnsi="仿宋" w:eastAsia="仿宋" w:cs="仿宋"/>
                <w:spacing w:val="3"/>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3"/>
                <w:sz w:val="23"/>
                <w:szCs w:val="23"/>
                <w:lang w:eastAsia="zh-CN"/>
              </w:rPr>
              <w:t>）</w:t>
            </w:r>
            <w:r>
              <w:rPr>
                <w:rFonts w:ascii="仿宋" w:hAnsi="仿宋" w:eastAsia="仿宋" w:cs="仿宋"/>
                <w:spacing w:val="3"/>
                <w:sz w:val="23"/>
                <w:szCs w:val="23"/>
              </w:rPr>
              <w:t xml:space="preserve">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hint="eastAsia" w:ascii="仿宋" w:hAnsi="仿宋" w:eastAsia="仿宋" w:cs="仿宋"/>
                <w:sz w:val="23"/>
                <w:szCs w:val="23"/>
                <w:lang w:eastAsia="zh-CN"/>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pacing w:val="-1"/>
                <w:sz w:val="23"/>
                <w:szCs w:val="23"/>
              </w:rPr>
              <w:t>录名单</w:t>
            </w:r>
            <w:r>
              <w:rPr>
                <w:rFonts w:hint="eastAsia" w:ascii="仿宋" w:hAnsi="仿宋" w:eastAsia="仿宋" w:cs="仿宋"/>
                <w:spacing w:val="-1"/>
                <w:sz w:val="23"/>
                <w:szCs w:val="23"/>
                <w:lang w:eastAsia="zh-CN"/>
              </w:rPr>
              <w:t>（</w:t>
            </w:r>
            <w:r>
              <w:rPr>
                <w:rFonts w:ascii="仿宋" w:hAnsi="仿宋" w:eastAsia="仿宋" w:cs="仿宋"/>
                <w:spacing w:val="-1"/>
                <w:sz w:val="23"/>
                <w:szCs w:val="23"/>
              </w:rPr>
              <w:t>以在“信用中国”网站</w:t>
            </w:r>
            <w:r>
              <w:rPr>
                <w:rFonts w:hint="eastAsia" w:ascii="仿宋" w:hAnsi="仿宋" w:eastAsia="仿宋" w:cs="仿宋"/>
                <w:spacing w:val="-1"/>
                <w:sz w:val="23"/>
                <w:szCs w:val="23"/>
                <w:lang w:eastAsia="zh-CN"/>
              </w:rPr>
              <w:t>（</w:t>
            </w:r>
            <w:r>
              <w:rPr>
                <w:rFonts w:ascii="仿宋" w:hAnsi="仿宋" w:eastAsia="仿宋" w:cs="仿宋"/>
                <w:spacing w:val="-1"/>
                <w:sz w:val="23"/>
                <w:szCs w:val="23"/>
              </w:rPr>
              <w:t>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r>
              <w:rPr>
                <w:rFonts w:hint="eastAsia" w:ascii="仿宋" w:hAnsi="仿宋" w:eastAsia="仿宋" w:cs="仿宋"/>
                <w:spacing w:val="15"/>
                <w:sz w:val="23"/>
                <w:szCs w:val="23"/>
                <w:lang w:eastAsia="zh-CN"/>
              </w:rPr>
              <w:t>）</w:t>
            </w:r>
            <w:r>
              <w:rPr>
                <w:rFonts w:ascii="仿宋" w:hAnsi="仿宋" w:eastAsia="仿宋" w:cs="仿宋"/>
                <w:spacing w:val="15"/>
                <w:sz w:val="23"/>
                <w:szCs w:val="23"/>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5985" w:type="dxa"/>
            <w:vAlign w:val="center"/>
          </w:tcPr>
          <w:p>
            <w:pPr>
              <w:widowControl w:val="0"/>
              <w:spacing w:before="305" w:line="212" w:lineRule="auto"/>
              <w:jc w:val="center"/>
              <w:rPr>
                <w:rFonts w:hint="eastAsia" w:ascii="仿宋" w:hAnsi="仿宋" w:eastAsia="仿宋" w:cs="仿宋"/>
                <w:spacing w:val="-11"/>
                <w:sz w:val="24"/>
                <w:szCs w:val="24"/>
                <w:lang w:val="en-US" w:eastAsia="zh-CN"/>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35"/>
                <w:sz w:val="24"/>
                <w:szCs w:val="24"/>
                <w:u w:val="single"/>
              </w:rPr>
              <w:t xml:space="preserve"> </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03</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01</w:t>
            </w:r>
            <w:r>
              <w:rPr>
                <w:rFonts w:ascii="仿宋" w:hAnsi="仿宋" w:eastAsia="仿宋" w:cs="仿宋"/>
                <w:spacing w:val="-11"/>
                <w:sz w:val="24"/>
                <w:szCs w:val="24"/>
              </w:rPr>
              <w:t>日</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fldChar w:fldCharType="begin"/>
            </w:r>
            <w:r>
              <w:rPr>
                <w:rFonts w:ascii="仿宋" w:hAnsi="仿宋" w:eastAsia="仿宋" w:cs="仿宋"/>
                <w:spacing w:val="-11"/>
                <w:sz w:val="24"/>
                <w:szCs w:val="24"/>
              </w:rPr>
              <w:instrText xml:space="preserve"> HYPERLINK "mailto:时之前将投标文件加盖公章加密后发送至邮箱gansu_qjmy_ts@163.com" </w:instrText>
            </w:r>
            <w:r>
              <w:rPr>
                <w:rFonts w:ascii="仿宋" w:hAnsi="仿宋" w:eastAsia="仿宋" w:cs="仿宋"/>
                <w:spacing w:val="-11"/>
                <w:sz w:val="24"/>
                <w:szCs w:val="24"/>
              </w:rPr>
              <w:fldChar w:fldCharType="separate"/>
            </w:r>
            <w:r>
              <w:rPr>
                <w:rStyle w:val="8"/>
                <w:rFonts w:ascii="仿宋" w:hAnsi="仿宋" w:eastAsia="仿宋" w:cs="仿宋"/>
                <w:spacing w:val="-11"/>
                <w:sz w:val="24"/>
                <w:szCs w:val="24"/>
              </w:rPr>
              <w:t>时之前</w:t>
            </w:r>
            <w:r>
              <w:rPr>
                <w:rStyle w:val="8"/>
                <w:rFonts w:hint="eastAsia" w:ascii="仿宋" w:hAnsi="仿宋" w:eastAsia="仿宋" w:cs="仿宋"/>
                <w:spacing w:val="-11"/>
                <w:sz w:val="24"/>
                <w:szCs w:val="24"/>
                <w:lang w:val="en-US" w:eastAsia="zh-CN"/>
              </w:rPr>
              <w:t>将投标文件</w:t>
            </w:r>
            <w:r>
              <w:rPr>
                <w:rStyle w:val="8"/>
                <w:rFonts w:hint="eastAsia" w:ascii="仿宋" w:hAnsi="仿宋" w:eastAsia="仿宋" w:cs="仿宋"/>
                <w:color w:val="FF0000"/>
                <w:spacing w:val="-11"/>
                <w:sz w:val="24"/>
                <w:szCs w:val="24"/>
                <w:lang w:val="en-US" w:eastAsia="zh-CN"/>
              </w:rPr>
              <w:t>加盖公章加密</w:t>
            </w:r>
            <w:r>
              <w:rPr>
                <w:rStyle w:val="8"/>
                <w:rFonts w:hint="eastAsia" w:ascii="仿宋" w:hAnsi="仿宋" w:eastAsia="仿宋" w:cs="仿宋"/>
                <w:spacing w:val="-11"/>
                <w:sz w:val="24"/>
                <w:szCs w:val="24"/>
                <w:lang w:val="en-US" w:eastAsia="zh-CN"/>
              </w:rPr>
              <w:t>后发送至邮箱gansu_qjmy_ts@163.com</w:t>
            </w:r>
            <w:r>
              <w:rPr>
                <w:rFonts w:ascii="仿宋" w:hAnsi="仿宋" w:eastAsia="仿宋" w:cs="仿宋"/>
                <w:spacing w:val="-11"/>
                <w:sz w:val="24"/>
                <w:szCs w:val="24"/>
              </w:rPr>
              <w:fldChar w:fldCharType="end"/>
            </w:r>
            <w:r>
              <w:rPr>
                <w:rFonts w:hint="eastAsia" w:ascii="仿宋" w:hAnsi="仿宋" w:eastAsia="仿宋" w:cs="仿宋"/>
                <w:spacing w:val="-11"/>
                <w:sz w:val="24"/>
                <w:szCs w:val="24"/>
                <w:lang w:val="en-US" w:eastAsia="zh-CN"/>
              </w:rPr>
              <w:t xml:space="preserve">           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59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59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pPr>
        <w:spacing w:line="235" w:lineRule="exact"/>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ind w:firstLine="3317" w:firstLineChars="700"/>
        <w:textAlignment w:val="baseline"/>
        <w:rPr>
          <w:b/>
          <w:bCs/>
          <w:sz w:val="24"/>
        </w:rPr>
      </w:pPr>
      <w:r>
        <w:rPr>
          <w:rFonts w:hint="eastAsia" w:ascii="宋体" w:hAnsi="宋体" w:eastAsia="宋体" w:cs="宋体"/>
          <w:b/>
          <w:bCs/>
          <w:spacing w:val="-4"/>
          <w:sz w:val="48"/>
          <w:szCs w:val="48"/>
        </w:rPr>
        <w:t xml:space="preserve"> </w:t>
      </w:r>
      <w:r>
        <w:rPr>
          <w:rFonts w:hint="eastAsia" w:ascii="宋体" w:hAnsi="宋体" w:eastAsia="宋体" w:cs="宋体"/>
          <w:b/>
          <w:bCs/>
          <w:spacing w:val="-3"/>
          <w:sz w:val="48"/>
          <w:szCs w:val="48"/>
          <w:lang w:val="en-US" w:eastAsia="zh-CN"/>
          <w14:textOutline w14:w="5587" w14:cap="flat" w14:cmpd="sng">
            <w14:solidFill>
              <w14:srgbClr w14:val="000000"/>
            </w14:solidFill>
            <w14:prstDash w14:val="solid"/>
            <w14:miter w14:val="0"/>
          </w14:textOutline>
        </w:rPr>
        <w:t>质量标准</w:t>
      </w:r>
    </w:p>
    <w:p>
      <w:pPr>
        <w:pStyle w:val="2"/>
        <w:spacing w:before="1"/>
        <w:ind w:left="0" w:leftChars="0" w:firstLine="0" w:firstLineChars="0"/>
        <w:rPr>
          <w:b/>
          <w:sz w:val="32"/>
          <w:szCs w:val="32"/>
        </w:rPr>
      </w:pPr>
      <w:r>
        <w:rPr>
          <w:sz w:val="32"/>
          <w:szCs w:val="32"/>
        </w:rPr>
        <w:t>棕榈脂肪粉</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0" w:line="360" w:lineRule="auto"/>
        <w:ind w:right="0" w:firstLine="240" w:firstLineChars="100"/>
        <w:jc w:val="left"/>
        <w:textAlignment w:val="baseline"/>
        <w:rPr>
          <w:b/>
          <w:sz w:val="24"/>
          <w:szCs w:val="24"/>
        </w:rPr>
      </w:pPr>
      <w:r>
        <w:rPr>
          <w:b/>
          <w:sz w:val="24"/>
          <w:szCs w:val="24"/>
        </w:rPr>
        <w:t>感官指标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360" w:lineRule="auto"/>
        <w:ind w:right="0" w:rightChars="0"/>
        <w:jc w:val="left"/>
        <w:textAlignment w:val="baseline"/>
        <w:rPr>
          <w:sz w:val="24"/>
          <w:szCs w:val="24"/>
        </w:rPr>
      </w:pPr>
      <w:r>
        <w:rPr>
          <w:sz w:val="24"/>
          <w:szCs w:val="24"/>
        </w:rPr>
        <w:t>呈乳白色、白色或棕色的细微粒或粉末，颗粒均匀无结块，具有天然脂肪的味道，无异味。</w:t>
      </w:r>
    </w:p>
    <w:p>
      <w:pPr>
        <w:keepNext w:val="0"/>
        <w:keepLines w:val="0"/>
        <w:pageBreakBefore w:val="0"/>
        <w:widowControl/>
        <w:kinsoku w:val="0"/>
        <w:wordWrap/>
        <w:overflowPunct/>
        <w:topLinePunct w:val="0"/>
        <w:autoSpaceDE w:val="0"/>
        <w:autoSpaceDN w:val="0"/>
        <w:bidi w:val="0"/>
        <w:adjustRightInd w:val="0"/>
        <w:snapToGrid w:val="0"/>
        <w:spacing w:before="0" w:line="360" w:lineRule="auto"/>
        <w:ind w:right="0" w:firstLine="228" w:firstLineChars="100"/>
        <w:jc w:val="left"/>
        <w:textAlignment w:val="baseline"/>
        <w:rPr>
          <w:b/>
          <w:sz w:val="24"/>
          <w:szCs w:val="24"/>
        </w:rPr>
      </w:pPr>
      <w:r>
        <w:rPr>
          <w:b/>
          <w:w w:val="95"/>
          <w:sz w:val="24"/>
          <w:szCs w:val="24"/>
        </w:rPr>
        <w:t>2</w:t>
      </w:r>
      <w:r>
        <w:rPr>
          <w:b/>
          <w:spacing w:val="-3"/>
          <w:w w:val="95"/>
          <w:sz w:val="24"/>
          <w:szCs w:val="24"/>
        </w:rPr>
        <w:t>、技术指标</w:t>
      </w:r>
    </w:p>
    <w:p>
      <w:pPr>
        <w:pStyle w:val="3"/>
        <w:spacing w:before="5" w:after="1"/>
        <w:rPr>
          <w:b/>
          <w:sz w:val="18"/>
        </w:rPr>
      </w:pP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3832"/>
        <w:gridCol w:w="1320"/>
        <w:gridCol w:w="1285"/>
        <w:gridCol w:w="13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4992" w:type="dxa"/>
            <w:gridSpan w:val="2"/>
          </w:tcPr>
          <w:p>
            <w:pPr>
              <w:pStyle w:val="10"/>
              <w:spacing w:before="118"/>
              <w:ind w:left="2302" w:right="2278"/>
              <w:jc w:val="center"/>
              <w:rPr>
                <w:b/>
                <w:sz w:val="18"/>
              </w:rPr>
            </w:pPr>
            <w:r>
              <w:rPr>
                <w:b/>
                <w:sz w:val="18"/>
              </w:rPr>
              <w:t>项目</w:t>
            </w:r>
          </w:p>
        </w:tc>
        <w:tc>
          <w:tcPr>
            <w:tcW w:w="1320" w:type="dxa"/>
          </w:tcPr>
          <w:p>
            <w:pPr>
              <w:pStyle w:val="10"/>
              <w:spacing w:before="118"/>
              <w:ind w:right="463"/>
              <w:jc w:val="right"/>
              <w:rPr>
                <w:b/>
                <w:sz w:val="18"/>
              </w:rPr>
            </w:pPr>
            <w:r>
              <w:rPr>
                <w:b/>
                <w:w w:val="95"/>
                <w:sz w:val="18"/>
              </w:rPr>
              <w:t>指标</w:t>
            </w:r>
          </w:p>
        </w:tc>
        <w:tc>
          <w:tcPr>
            <w:tcW w:w="1285" w:type="dxa"/>
          </w:tcPr>
          <w:p>
            <w:pPr>
              <w:pStyle w:val="10"/>
              <w:spacing w:before="118"/>
              <w:ind w:left="427"/>
              <w:rPr>
                <w:b/>
                <w:sz w:val="18"/>
              </w:rPr>
            </w:pPr>
            <w:r>
              <w:rPr>
                <w:b/>
                <w:sz w:val="18"/>
              </w:rPr>
              <w:t>退货值</w:t>
            </w:r>
          </w:p>
        </w:tc>
        <w:tc>
          <w:tcPr>
            <w:tcW w:w="1350" w:type="dxa"/>
          </w:tcPr>
          <w:p>
            <w:pPr>
              <w:pStyle w:val="10"/>
              <w:spacing w:before="118"/>
              <w:ind w:left="297" w:right="279"/>
              <w:jc w:val="center"/>
              <w:rPr>
                <w:b/>
                <w:sz w:val="18"/>
              </w:rPr>
            </w:pPr>
            <w:r>
              <w:rPr>
                <w:b/>
                <w:sz w:val="18"/>
              </w:rPr>
              <w:t>检验要求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restart"/>
          </w:tcPr>
          <w:p>
            <w:pPr>
              <w:pStyle w:val="10"/>
              <w:rPr>
                <w:b/>
                <w:sz w:val="18"/>
              </w:rPr>
            </w:pPr>
          </w:p>
          <w:p>
            <w:pPr>
              <w:pStyle w:val="10"/>
              <w:rPr>
                <w:b/>
                <w:sz w:val="18"/>
              </w:rPr>
            </w:pPr>
          </w:p>
          <w:p>
            <w:pPr>
              <w:pStyle w:val="10"/>
              <w:rPr>
                <w:b/>
                <w:sz w:val="18"/>
              </w:rPr>
            </w:pPr>
          </w:p>
          <w:p>
            <w:pPr>
              <w:pStyle w:val="10"/>
              <w:rPr>
                <w:b/>
                <w:sz w:val="18"/>
              </w:rPr>
            </w:pPr>
          </w:p>
          <w:p>
            <w:pPr>
              <w:pStyle w:val="10"/>
              <w:spacing w:before="159"/>
              <w:ind w:left="223"/>
              <w:rPr>
                <w:sz w:val="18"/>
              </w:rPr>
            </w:pPr>
            <w:r>
              <w:rPr>
                <w:sz w:val="18"/>
              </w:rPr>
              <w:t>理化指标</w:t>
            </w:r>
          </w:p>
        </w:tc>
        <w:tc>
          <w:tcPr>
            <w:tcW w:w="3832" w:type="dxa"/>
          </w:tcPr>
          <w:p>
            <w:pPr>
              <w:pStyle w:val="10"/>
              <w:spacing w:before="119"/>
              <w:ind w:left="111"/>
              <w:rPr>
                <w:sz w:val="18"/>
              </w:rPr>
            </w:pPr>
            <w:r>
              <w:rPr>
                <w:sz w:val="18"/>
              </w:rPr>
              <w:t>水分（</w:t>
            </w:r>
            <w:r>
              <w:rPr>
                <w:rFonts w:ascii="Times New Roman" w:eastAsia="Times New Roman"/>
                <w:sz w:val="18"/>
              </w:rPr>
              <w:t>%</w:t>
            </w:r>
            <w:r>
              <w:rPr>
                <w:sz w:val="18"/>
              </w:rPr>
              <w:t>）</w:t>
            </w:r>
          </w:p>
        </w:tc>
        <w:tc>
          <w:tcPr>
            <w:tcW w:w="1320" w:type="dxa"/>
          </w:tcPr>
          <w:p>
            <w:pPr>
              <w:pStyle w:val="10"/>
              <w:spacing w:before="117"/>
              <w:ind w:right="397"/>
              <w:jc w:val="right"/>
              <w:rPr>
                <w:rFonts w:ascii="Times New Roman" w:hAnsi="Times New Roman"/>
                <w:sz w:val="18"/>
              </w:rPr>
            </w:pPr>
            <w:r>
              <w:rPr>
                <w:sz w:val="18"/>
              </w:rPr>
              <w:t>≤</w:t>
            </w:r>
            <w:r>
              <w:rPr>
                <w:rFonts w:ascii="Times New Roman" w:hAnsi="Times New Roman"/>
                <w:sz w:val="18"/>
              </w:rPr>
              <w:t>1.0</w:t>
            </w:r>
          </w:p>
        </w:tc>
        <w:tc>
          <w:tcPr>
            <w:tcW w:w="1285" w:type="dxa"/>
          </w:tcPr>
          <w:p>
            <w:pPr>
              <w:pStyle w:val="10"/>
              <w:spacing w:before="117"/>
              <w:ind w:left="453"/>
              <w:rPr>
                <w:rFonts w:ascii="Times New Roman" w:eastAsia="Times New Roman"/>
                <w:sz w:val="18"/>
              </w:rPr>
            </w:pPr>
            <w:r>
              <w:rPr>
                <w:sz w:val="18"/>
              </w:rPr>
              <w:t>＞</w:t>
            </w:r>
            <w:r>
              <w:rPr>
                <w:rFonts w:ascii="Times New Roman" w:eastAsia="Times New Roman"/>
                <w:sz w:val="18"/>
              </w:rPr>
              <w:t>1.5</w:t>
            </w:r>
          </w:p>
        </w:tc>
        <w:tc>
          <w:tcPr>
            <w:tcW w:w="1350" w:type="dxa"/>
          </w:tcPr>
          <w:p>
            <w:pPr>
              <w:pStyle w:val="10"/>
              <w:spacing w:before="117"/>
              <w:ind w:left="297" w:right="276"/>
              <w:jc w:val="center"/>
              <w:rPr>
                <w:sz w:val="18"/>
              </w:rPr>
            </w:pPr>
            <w:r>
              <w:rPr>
                <w:sz w:val="18"/>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pPr>
              <w:rPr>
                <w:sz w:val="2"/>
                <w:szCs w:val="2"/>
              </w:rPr>
            </w:pPr>
          </w:p>
        </w:tc>
        <w:tc>
          <w:tcPr>
            <w:tcW w:w="3832" w:type="dxa"/>
          </w:tcPr>
          <w:p>
            <w:pPr>
              <w:pStyle w:val="10"/>
              <w:spacing w:before="119"/>
              <w:ind w:left="111"/>
              <w:rPr>
                <w:sz w:val="18"/>
              </w:rPr>
            </w:pPr>
            <w:r>
              <w:rPr>
                <w:sz w:val="18"/>
              </w:rPr>
              <w:t>总脂肪（</w:t>
            </w:r>
            <w:r>
              <w:rPr>
                <w:rFonts w:ascii="Times New Roman" w:eastAsia="Times New Roman"/>
                <w:sz w:val="18"/>
              </w:rPr>
              <w:t>%DM</w:t>
            </w:r>
            <w:r>
              <w:rPr>
                <w:sz w:val="18"/>
              </w:rPr>
              <w:t>）</w:t>
            </w:r>
          </w:p>
        </w:tc>
        <w:tc>
          <w:tcPr>
            <w:tcW w:w="1320" w:type="dxa"/>
          </w:tcPr>
          <w:p>
            <w:pPr>
              <w:pStyle w:val="10"/>
              <w:spacing w:before="119"/>
              <w:ind w:right="397"/>
              <w:jc w:val="right"/>
              <w:rPr>
                <w:rFonts w:ascii="Times New Roman" w:hAnsi="Times New Roman"/>
                <w:sz w:val="18"/>
              </w:rPr>
            </w:pPr>
            <w:r>
              <w:rPr>
                <w:sz w:val="18"/>
              </w:rPr>
              <w:t>≥</w:t>
            </w:r>
            <w:r>
              <w:rPr>
                <w:rFonts w:ascii="Times New Roman" w:hAnsi="Times New Roman"/>
                <w:sz w:val="18"/>
              </w:rPr>
              <w:t>99.0</w:t>
            </w:r>
          </w:p>
        </w:tc>
        <w:tc>
          <w:tcPr>
            <w:tcW w:w="1285" w:type="dxa"/>
          </w:tcPr>
          <w:p>
            <w:pPr>
              <w:pStyle w:val="10"/>
              <w:spacing w:before="119"/>
              <w:ind w:left="405"/>
              <w:rPr>
                <w:rFonts w:ascii="Times New Roman" w:eastAsia="Times New Roman"/>
                <w:sz w:val="18"/>
              </w:rPr>
            </w:pPr>
            <w:r>
              <w:rPr>
                <w:sz w:val="18"/>
              </w:rPr>
              <w:t>＜</w:t>
            </w:r>
            <w:r>
              <w:rPr>
                <w:rFonts w:ascii="Times New Roman" w:eastAsia="Times New Roman"/>
                <w:sz w:val="18"/>
              </w:rPr>
              <w:t>98.0</w:t>
            </w:r>
          </w:p>
        </w:tc>
        <w:tc>
          <w:tcPr>
            <w:tcW w:w="1350" w:type="dxa"/>
          </w:tcPr>
          <w:p>
            <w:pPr>
              <w:pStyle w:val="10"/>
              <w:spacing w:before="119"/>
              <w:ind w:left="297" w:right="276"/>
              <w:jc w:val="center"/>
              <w:rPr>
                <w:sz w:val="18"/>
              </w:rPr>
            </w:pPr>
            <w:r>
              <w:rPr>
                <w:sz w:val="18"/>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pPr>
              <w:rPr>
                <w:sz w:val="2"/>
                <w:szCs w:val="2"/>
              </w:rPr>
            </w:pPr>
          </w:p>
        </w:tc>
        <w:tc>
          <w:tcPr>
            <w:tcW w:w="3832" w:type="dxa"/>
          </w:tcPr>
          <w:p>
            <w:pPr>
              <w:pStyle w:val="10"/>
              <w:spacing w:before="118"/>
              <w:ind w:left="111"/>
              <w:rPr>
                <w:sz w:val="18"/>
              </w:rPr>
            </w:pPr>
            <w:r>
              <w:rPr>
                <w:sz w:val="18"/>
              </w:rPr>
              <w:t>饱和脂肪酸（</w:t>
            </w:r>
            <w:r>
              <w:rPr>
                <w:rFonts w:ascii="Times New Roman" w:eastAsia="Times New Roman"/>
                <w:sz w:val="18"/>
              </w:rPr>
              <w:t>%TFA</w:t>
            </w:r>
            <w:r>
              <w:rPr>
                <w:sz w:val="18"/>
              </w:rPr>
              <w:t>）</w:t>
            </w:r>
          </w:p>
        </w:tc>
        <w:tc>
          <w:tcPr>
            <w:tcW w:w="2605" w:type="dxa"/>
            <w:gridSpan w:val="2"/>
          </w:tcPr>
          <w:p>
            <w:pPr>
              <w:pStyle w:val="10"/>
              <w:spacing w:before="118"/>
              <w:ind w:left="1041" w:right="1019"/>
              <w:jc w:val="center"/>
              <w:rPr>
                <w:rFonts w:ascii="Times New Roman" w:hAnsi="Times New Roman"/>
                <w:sz w:val="18"/>
              </w:rPr>
            </w:pPr>
            <w:r>
              <w:rPr>
                <w:sz w:val="18"/>
              </w:rPr>
              <w:t>≥</w:t>
            </w:r>
            <w:r>
              <w:rPr>
                <w:rFonts w:ascii="Times New Roman" w:hAnsi="Times New Roman"/>
                <w:sz w:val="18"/>
              </w:rPr>
              <w:t>85.0</w:t>
            </w:r>
          </w:p>
        </w:tc>
        <w:tc>
          <w:tcPr>
            <w:tcW w:w="1350" w:type="dxa"/>
          </w:tcPr>
          <w:p>
            <w:pPr>
              <w:pStyle w:val="10"/>
              <w:spacing w:before="118"/>
              <w:ind w:left="297" w:right="276"/>
              <w:jc w:val="center"/>
              <w:rPr>
                <w:sz w:val="18"/>
              </w:rPr>
            </w:pPr>
            <w:r>
              <w:rPr>
                <w:sz w:val="18"/>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pPr>
              <w:rPr>
                <w:sz w:val="2"/>
                <w:szCs w:val="2"/>
              </w:rPr>
            </w:pPr>
          </w:p>
        </w:tc>
        <w:tc>
          <w:tcPr>
            <w:tcW w:w="3832" w:type="dxa"/>
          </w:tcPr>
          <w:p>
            <w:pPr>
              <w:pStyle w:val="10"/>
              <w:spacing w:before="120"/>
              <w:ind w:left="111"/>
              <w:rPr>
                <w:sz w:val="18"/>
              </w:rPr>
            </w:pPr>
            <w:r>
              <w:rPr>
                <w:sz w:val="18"/>
              </w:rPr>
              <w:t>熔点（</w:t>
            </w:r>
            <w:r>
              <w:rPr>
                <w:rFonts w:ascii="Times New Roman" w:hAnsi="Times New Roman" w:eastAsia="Times New Roman"/>
                <w:sz w:val="18"/>
              </w:rPr>
              <w:t>℃</w:t>
            </w:r>
            <w:r>
              <w:rPr>
                <w:sz w:val="18"/>
              </w:rPr>
              <w:t>）</w:t>
            </w:r>
          </w:p>
        </w:tc>
        <w:tc>
          <w:tcPr>
            <w:tcW w:w="2605" w:type="dxa"/>
            <w:gridSpan w:val="2"/>
          </w:tcPr>
          <w:p>
            <w:pPr>
              <w:pStyle w:val="10"/>
              <w:spacing w:before="116"/>
              <w:ind w:left="1041" w:right="1015"/>
              <w:jc w:val="center"/>
              <w:rPr>
                <w:rFonts w:ascii="Times New Roman"/>
                <w:sz w:val="18"/>
              </w:rPr>
            </w:pPr>
            <w:r>
              <w:rPr>
                <w:rFonts w:ascii="Times New Roman"/>
                <w:sz w:val="18"/>
              </w:rPr>
              <w:t>54-60</w:t>
            </w:r>
          </w:p>
        </w:tc>
        <w:tc>
          <w:tcPr>
            <w:tcW w:w="1350" w:type="dxa"/>
          </w:tcPr>
          <w:p>
            <w:pPr>
              <w:pStyle w:val="10"/>
              <w:spacing w:before="118"/>
              <w:ind w:left="297" w:right="276"/>
              <w:jc w:val="center"/>
              <w:rPr>
                <w:sz w:val="18"/>
              </w:rPr>
            </w:pPr>
            <w:r>
              <w:rPr>
                <w:sz w:val="18"/>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pPr>
              <w:rPr>
                <w:sz w:val="2"/>
                <w:szCs w:val="2"/>
              </w:rPr>
            </w:pPr>
          </w:p>
        </w:tc>
        <w:tc>
          <w:tcPr>
            <w:tcW w:w="3832" w:type="dxa"/>
          </w:tcPr>
          <w:p>
            <w:pPr>
              <w:pStyle w:val="10"/>
              <w:spacing w:before="120"/>
              <w:ind w:left="111"/>
              <w:rPr>
                <w:sz w:val="18"/>
              </w:rPr>
            </w:pPr>
            <w:r>
              <w:rPr>
                <w:sz w:val="18"/>
              </w:rPr>
              <w:t>过氧化值（</w:t>
            </w:r>
            <w:r>
              <w:rPr>
                <w:rFonts w:ascii="Times New Roman" w:eastAsia="Times New Roman"/>
                <w:sz w:val="18"/>
              </w:rPr>
              <w:t>mmol/kg</w:t>
            </w:r>
            <w:r>
              <w:rPr>
                <w:sz w:val="18"/>
              </w:rPr>
              <w:t>）</w:t>
            </w:r>
          </w:p>
        </w:tc>
        <w:tc>
          <w:tcPr>
            <w:tcW w:w="2605" w:type="dxa"/>
            <w:gridSpan w:val="2"/>
          </w:tcPr>
          <w:p>
            <w:pPr>
              <w:pStyle w:val="10"/>
              <w:spacing w:before="120"/>
              <w:ind w:left="1036" w:right="1019"/>
              <w:jc w:val="center"/>
              <w:rPr>
                <w:rFonts w:ascii="Times New Roman" w:hAnsi="Times New Roman"/>
                <w:sz w:val="18"/>
              </w:rPr>
            </w:pPr>
            <w:r>
              <w:rPr>
                <w:sz w:val="18"/>
              </w:rPr>
              <w:t>≤</w:t>
            </w:r>
            <w:r>
              <w:rPr>
                <w:rFonts w:ascii="Times New Roman" w:hAnsi="Times New Roman"/>
                <w:sz w:val="18"/>
              </w:rPr>
              <w:t>5</w:t>
            </w:r>
          </w:p>
        </w:tc>
        <w:tc>
          <w:tcPr>
            <w:tcW w:w="1350" w:type="dxa"/>
          </w:tcPr>
          <w:p>
            <w:pPr>
              <w:pStyle w:val="10"/>
              <w:spacing w:before="120"/>
              <w:ind w:left="297" w:right="276"/>
              <w:jc w:val="center"/>
              <w:rPr>
                <w:sz w:val="18"/>
              </w:rPr>
            </w:pPr>
            <w:r>
              <w:rPr>
                <w:sz w:val="18"/>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restart"/>
          </w:tcPr>
          <w:p>
            <w:pPr>
              <w:pStyle w:val="10"/>
              <w:rPr>
                <w:b/>
                <w:sz w:val="18"/>
              </w:rPr>
            </w:pPr>
          </w:p>
          <w:p>
            <w:pPr>
              <w:pStyle w:val="10"/>
              <w:spacing w:before="128"/>
              <w:ind w:left="223"/>
              <w:rPr>
                <w:sz w:val="18"/>
              </w:rPr>
            </w:pPr>
            <w:r>
              <w:rPr>
                <w:sz w:val="18"/>
              </w:rPr>
              <w:t>卫生指标</w:t>
            </w:r>
          </w:p>
        </w:tc>
        <w:tc>
          <w:tcPr>
            <w:tcW w:w="3832" w:type="dxa"/>
          </w:tcPr>
          <w:p>
            <w:pPr>
              <w:pStyle w:val="10"/>
              <w:spacing w:before="119"/>
              <w:ind w:left="111"/>
              <w:rPr>
                <w:rFonts w:ascii="Times New Roman" w:eastAsia="Times New Roman"/>
                <w:sz w:val="18"/>
              </w:rPr>
            </w:pPr>
            <w:r>
              <w:rPr>
                <w:sz w:val="18"/>
              </w:rPr>
              <w:t xml:space="preserve">总砷 </w:t>
            </w:r>
            <w:r>
              <w:rPr>
                <w:rFonts w:ascii="Times New Roman" w:eastAsia="Times New Roman"/>
                <w:sz w:val="18"/>
              </w:rPr>
              <w:t>(mg/kg)</w:t>
            </w:r>
          </w:p>
        </w:tc>
        <w:tc>
          <w:tcPr>
            <w:tcW w:w="2605" w:type="dxa"/>
            <w:gridSpan w:val="2"/>
          </w:tcPr>
          <w:p>
            <w:pPr>
              <w:pStyle w:val="10"/>
              <w:spacing w:before="119"/>
              <w:ind w:left="1036" w:right="1019"/>
              <w:jc w:val="center"/>
              <w:rPr>
                <w:rFonts w:ascii="Times New Roman" w:hAnsi="Times New Roman"/>
                <w:sz w:val="18"/>
              </w:rPr>
            </w:pPr>
            <w:r>
              <w:rPr>
                <w:sz w:val="18"/>
              </w:rPr>
              <w:t>≤</w:t>
            </w:r>
            <w:r>
              <w:rPr>
                <w:rFonts w:ascii="Times New Roman" w:hAnsi="Times New Roman"/>
                <w:sz w:val="18"/>
              </w:rPr>
              <w:t>7</w:t>
            </w:r>
          </w:p>
        </w:tc>
        <w:tc>
          <w:tcPr>
            <w:tcW w:w="1350" w:type="dxa"/>
          </w:tcPr>
          <w:p>
            <w:pPr>
              <w:pStyle w:val="10"/>
              <w:spacing w:before="119"/>
              <w:ind w:left="297" w:right="276"/>
              <w:jc w:val="center"/>
              <w:rPr>
                <w:sz w:val="18"/>
              </w:rPr>
            </w:pPr>
            <w:r>
              <w:rPr>
                <w:sz w:val="18"/>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pPr>
              <w:rPr>
                <w:sz w:val="2"/>
                <w:szCs w:val="2"/>
              </w:rPr>
            </w:pPr>
          </w:p>
        </w:tc>
        <w:tc>
          <w:tcPr>
            <w:tcW w:w="7787" w:type="dxa"/>
            <w:gridSpan w:val="4"/>
          </w:tcPr>
          <w:p>
            <w:pPr>
              <w:pStyle w:val="10"/>
              <w:spacing w:before="118"/>
              <w:ind w:left="2219" w:right="2193"/>
              <w:jc w:val="center"/>
              <w:rPr>
                <w:sz w:val="18"/>
              </w:rPr>
            </w:pPr>
            <w:r>
              <w:rPr>
                <w:sz w:val="18"/>
              </w:rPr>
              <w:t>其他卫生指标执行</w:t>
            </w:r>
            <w:r>
              <w:rPr>
                <w:rFonts w:ascii="Times New Roman" w:eastAsia="Times New Roman"/>
                <w:sz w:val="18"/>
              </w:rPr>
              <w:t xml:space="preserve">GB13078-2017 </w:t>
            </w:r>
            <w:r>
              <w:rPr>
                <w:sz w:val="18"/>
              </w:rPr>
              <w:t>规定标准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2" w:hRule="atLeast"/>
          <w:jc w:val="center"/>
        </w:trPr>
        <w:tc>
          <w:tcPr>
            <w:tcW w:w="8947" w:type="dxa"/>
            <w:gridSpan w:val="5"/>
          </w:tcPr>
          <w:p>
            <w:pPr>
              <w:pStyle w:val="10"/>
              <w:spacing w:before="7"/>
              <w:rPr>
                <w:b/>
                <w:sz w:val="16"/>
              </w:rPr>
            </w:pPr>
          </w:p>
          <w:p>
            <w:pPr>
              <w:pStyle w:val="10"/>
              <w:ind w:left="112"/>
              <w:rPr>
                <w:sz w:val="18"/>
              </w:rPr>
            </w:pPr>
            <w:r>
              <w:rPr>
                <w:sz w:val="18"/>
              </w:rPr>
              <w:t>注：</w:t>
            </w:r>
            <w:r>
              <w:rPr>
                <w:rFonts w:ascii="Times New Roman" w:eastAsia="Times New Roman"/>
                <w:sz w:val="18"/>
              </w:rPr>
              <w:t>1</w:t>
            </w:r>
            <w:r>
              <w:rPr>
                <w:sz w:val="18"/>
              </w:rPr>
              <w:t>、</w:t>
            </w:r>
            <w:r>
              <w:rPr>
                <w:rFonts w:ascii="Times New Roman" w:eastAsia="Times New Roman"/>
                <w:sz w:val="18"/>
              </w:rPr>
              <w:t>DM</w:t>
            </w:r>
            <w:r>
              <w:rPr>
                <w:sz w:val="18"/>
              </w:rPr>
              <w:t>指干物质，</w:t>
            </w:r>
            <w:r>
              <w:rPr>
                <w:rFonts w:ascii="Times New Roman" w:eastAsia="Times New Roman"/>
                <w:sz w:val="18"/>
              </w:rPr>
              <w:t>TFA</w:t>
            </w:r>
            <w:r>
              <w:rPr>
                <w:sz w:val="18"/>
              </w:rPr>
              <w:t>指总脂肪酸；</w:t>
            </w:r>
          </w:p>
          <w:p>
            <w:pPr>
              <w:pStyle w:val="10"/>
              <w:rPr>
                <w:b/>
                <w:sz w:val="17"/>
              </w:rPr>
            </w:pPr>
          </w:p>
          <w:p>
            <w:pPr>
              <w:pStyle w:val="10"/>
              <w:ind w:left="472"/>
              <w:rPr>
                <w:sz w:val="18"/>
              </w:rPr>
            </w:pPr>
            <w:r>
              <w:rPr>
                <w:rFonts w:ascii="Times New Roman" w:eastAsia="Times New Roman"/>
                <w:sz w:val="18"/>
              </w:rPr>
              <w:t>2</w:t>
            </w:r>
            <w:r>
              <w:rPr>
                <w:sz w:val="18"/>
              </w:rPr>
              <w:t>、饱和脂肪酸含量（占总脂肪酸比例）允许判定误差</w:t>
            </w:r>
            <w:r>
              <w:rPr>
                <w:rFonts w:ascii="Times New Roman" w:eastAsia="Times New Roman"/>
                <w:sz w:val="18"/>
              </w:rPr>
              <w:t>2%</w:t>
            </w:r>
            <w:r>
              <w:rPr>
                <w:sz w:val="18"/>
              </w:rPr>
              <w:t>（绝对误差）；</w:t>
            </w:r>
          </w:p>
          <w:p>
            <w:pPr>
              <w:pStyle w:val="10"/>
              <w:spacing w:before="11"/>
              <w:rPr>
                <w:b/>
                <w:sz w:val="16"/>
              </w:rPr>
            </w:pPr>
          </w:p>
          <w:p>
            <w:pPr>
              <w:pStyle w:val="10"/>
              <w:ind w:left="472"/>
              <w:rPr>
                <w:rFonts w:ascii="Times New Roman" w:eastAsia="Times New Roman"/>
                <w:sz w:val="18"/>
              </w:rPr>
            </w:pPr>
            <w:r>
              <w:rPr>
                <w:rFonts w:ascii="Times New Roman" w:eastAsia="Times New Roman"/>
                <w:sz w:val="18"/>
              </w:rPr>
              <w:t>3</w:t>
            </w:r>
            <w:r>
              <w:rPr>
                <w:sz w:val="18"/>
              </w:rPr>
              <w:t>、饱和脂肪酸（</w:t>
            </w:r>
            <w:r>
              <w:rPr>
                <w:rFonts w:ascii="Times New Roman" w:eastAsia="Times New Roman"/>
                <w:sz w:val="18"/>
              </w:rPr>
              <w:t>%TFA</w:t>
            </w:r>
            <w:r>
              <w:rPr>
                <w:sz w:val="18"/>
              </w:rPr>
              <w:t>）</w:t>
            </w:r>
            <w:r>
              <w:rPr>
                <w:rFonts w:ascii="Times New Roman" w:eastAsia="Times New Roman"/>
                <w:sz w:val="18"/>
              </w:rPr>
              <w:t>=</w:t>
            </w:r>
            <w:r>
              <w:rPr>
                <w:sz w:val="18"/>
              </w:rPr>
              <w:t>饱和脂肪酸（</w:t>
            </w:r>
            <w:r>
              <w:rPr>
                <w:rFonts w:ascii="Times New Roman" w:eastAsia="Times New Roman"/>
                <w:sz w:val="18"/>
              </w:rPr>
              <w:t>%DM</w:t>
            </w:r>
            <w:r>
              <w:rPr>
                <w:sz w:val="18"/>
              </w:rPr>
              <w:t>）</w:t>
            </w:r>
            <w:r>
              <w:rPr>
                <w:rFonts w:ascii="Times New Roman" w:eastAsia="Times New Roman"/>
                <w:sz w:val="18"/>
              </w:rPr>
              <w:t>/</w:t>
            </w:r>
            <w:r>
              <w:rPr>
                <w:sz w:val="18"/>
              </w:rPr>
              <w:t>总脂肪酸（</w:t>
            </w:r>
            <w:r>
              <w:rPr>
                <w:rFonts w:ascii="Times New Roman" w:eastAsia="Times New Roman"/>
                <w:sz w:val="18"/>
              </w:rPr>
              <w:t>%DM</w:t>
            </w:r>
            <w:r>
              <w:rPr>
                <w:sz w:val="18"/>
              </w:rPr>
              <w:t>）</w:t>
            </w:r>
            <w:r>
              <w:rPr>
                <w:rFonts w:ascii="Times New Roman" w:eastAsia="Times New Roman"/>
                <w:sz w:val="18"/>
              </w:rPr>
              <w:t>*100%</w:t>
            </w:r>
          </w:p>
          <w:p>
            <w:pPr>
              <w:pStyle w:val="10"/>
              <w:spacing w:before="163"/>
              <w:ind w:left="472"/>
              <w:rPr>
                <w:sz w:val="18"/>
              </w:rPr>
            </w:pPr>
            <w:r>
              <w:rPr>
                <w:rFonts w:ascii="Times New Roman" w:eastAsia="Times New Roman"/>
                <w:sz w:val="18"/>
              </w:rPr>
              <w:t>4</w:t>
            </w:r>
            <w:r>
              <w:rPr>
                <w:sz w:val="18"/>
              </w:rPr>
              <w:t>、卫生指标不合格，产品到货结块，拒收处置。</w:t>
            </w:r>
          </w:p>
        </w:tc>
      </w:tr>
    </w:tbl>
    <w:p>
      <w:pPr>
        <w:keepNext w:val="0"/>
        <w:keepLines w:val="0"/>
        <w:pageBreakBefore w:val="0"/>
        <w:widowControl/>
        <w:kinsoku w:val="0"/>
        <w:wordWrap/>
        <w:overflowPunct/>
        <w:topLinePunct w:val="0"/>
        <w:autoSpaceDE w:val="0"/>
        <w:autoSpaceDN w:val="0"/>
        <w:bidi w:val="0"/>
        <w:adjustRightInd w:val="0"/>
        <w:snapToGrid w:val="0"/>
        <w:spacing w:before="83" w:line="360" w:lineRule="auto"/>
        <w:ind w:right="0" w:firstLine="228" w:firstLineChars="100"/>
        <w:jc w:val="left"/>
        <w:textAlignment w:val="baseline"/>
        <w:rPr>
          <w:b/>
          <w:sz w:val="24"/>
        </w:rPr>
      </w:pPr>
      <w:r>
        <w:rPr>
          <w:b/>
          <w:w w:val="95"/>
          <w:sz w:val="24"/>
        </w:rPr>
        <w:t>3</w:t>
      </w:r>
      <w:r>
        <w:rPr>
          <w:b/>
          <w:spacing w:val="-3"/>
          <w:w w:val="95"/>
          <w:sz w:val="24"/>
        </w:rPr>
        <w:t>、标签标识</w:t>
      </w:r>
    </w:p>
    <w:p>
      <w:pPr>
        <w:pStyle w:val="3"/>
        <w:keepNext w:val="0"/>
        <w:keepLines w:val="0"/>
        <w:pageBreakBefore w:val="0"/>
        <w:widowControl/>
        <w:kinsoku w:val="0"/>
        <w:wordWrap/>
        <w:overflowPunct/>
        <w:topLinePunct w:val="0"/>
        <w:autoSpaceDE w:val="0"/>
        <w:autoSpaceDN w:val="0"/>
        <w:bidi w:val="0"/>
        <w:adjustRightInd w:val="0"/>
        <w:snapToGrid w:val="0"/>
        <w:spacing w:before="165" w:line="360" w:lineRule="auto"/>
        <w:textAlignment w:val="baseline"/>
      </w:pPr>
      <w:r>
        <w:t xml:space="preserve">标签标识符合 </w:t>
      </w:r>
      <w:r>
        <w:rPr>
          <w:rFonts w:ascii="Times New Roman" w:eastAsia="Times New Roman"/>
        </w:rPr>
        <w:t>GB10648-2013</w:t>
      </w:r>
      <w:r>
        <w:t>中相关要求。</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val="0"/>
          <w:bCs w:val="0"/>
          <w:sz w:val="24"/>
          <w:szCs w:val="24"/>
        </w:rPr>
      </w:pPr>
    </w:p>
    <w:p>
      <w:pPr>
        <w:pStyle w:val="3"/>
        <w:rPr>
          <w:rFonts w:hint="eastAsia"/>
        </w:rPr>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3"/>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3"/>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3"/>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9"/>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pPr>
        <w:rPr>
          <w:rFonts w:ascii="Arial"/>
          <w:sz w:val="21"/>
        </w:rPr>
      </w:pPr>
    </w:p>
    <w:p>
      <w:pPr>
        <w:spacing w:line="241" w:lineRule="auto"/>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b/>
          <w:bCs/>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3"/>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3F907C"/>
    <w:multiLevelType w:val="singleLevel"/>
    <w:tmpl w:val="B83F907C"/>
    <w:lvl w:ilvl="0" w:tentative="0">
      <w:start w:val="1"/>
      <w:numFmt w:val="decimal"/>
      <w:lvlText w:val="%1."/>
      <w:lvlJc w:val="left"/>
      <w:pPr>
        <w:tabs>
          <w:tab w:val="left" w:pos="312"/>
        </w:tabs>
      </w:pPr>
    </w:lvl>
  </w:abstractNum>
  <w:abstractNum w:abstractNumId="1">
    <w:nsid w:val="CA4B26E4"/>
    <w:multiLevelType w:val="singleLevel"/>
    <w:tmpl w:val="CA4B26E4"/>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1A2328E"/>
    <w:rsid w:val="04DE22EF"/>
    <w:rsid w:val="078925D1"/>
    <w:rsid w:val="0D085104"/>
    <w:rsid w:val="0F094E6A"/>
    <w:rsid w:val="131A3B1D"/>
    <w:rsid w:val="20C560FB"/>
    <w:rsid w:val="22887589"/>
    <w:rsid w:val="26F17114"/>
    <w:rsid w:val="34A90430"/>
    <w:rsid w:val="365F7B64"/>
    <w:rsid w:val="385C0B47"/>
    <w:rsid w:val="40081B38"/>
    <w:rsid w:val="43881600"/>
    <w:rsid w:val="4445400D"/>
    <w:rsid w:val="44B00A3B"/>
    <w:rsid w:val="4D7D6E2D"/>
    <w:rsid w:val="52EF7BF0"/>
    <w:rsid w:val="53252A3D"/>
    <w:rsid w:val="59270DD1"/>
    <w:rsid w:val="61AD6766"/>
    <w:rsid w:val="631725C7"/>
    <w:rsid w:val="689C668C"/>
    <w:rsid w:val="691D392F"/>
    <w:rsid w:val="707B5D4B"/>
    <w:rsid w:val="72D8479F"/>
    <w:rsid w:val="74CC105E"/>
    <w:rsid w:val="76C014C1"/>
    <w:rsid w:val="773C3348"/>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qFormat/>
    <w:uiPriority w:val="0"/>
    <w:rPr>
      <w:color w:val="0000FF"/>
      <w:u w:val="single"/>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1898</Words>
  <Characters>2099</Characters>
  <TotalTime>1</TotalTime>
  <ScaleCrop>false</ScaleCrop>
  <LinksUpToDate>false</LinksUpToDate>
  <CharactersWithSpaces>3115</CharactersWithSpaces>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2024-02-23T01:54:50Z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2052-12.1.0.16388</vt:lpwstr>
  </property>
  <property fmtid="{D5CDD505-2E9C-101B-9397-08002B2CF9AE}" pid="5" name="ICV">
    <vt:lpwstr>84D2111B49C245049189463BF748E38D_12</vt:lpwstr>
  </property>
</Properties>
</file>