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700吨棉粕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SKY-CG-MP-2024040</w:t>
      </w:r>
      <w:bookmarkStart w:id="0" w:name="_GoBack"/>
      <w:bookmarkEnd w:id="0"/>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700吨棉粕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700吨棉粕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w:t>
            </w:r>
            <w:r>
              <w:rPr>
                <w:rFonts w:ascii="仿宋" w:hAnsi="仿宋" w:eastAsia="仿宋" w:cs="仿宋"/>
                <w:spacing w:val="3"/>
                <w:sz w:val="23"/>
                <w:szCs w:val="23"/>
              </w:rPr>
              <w:t>复印件加盖公章</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04</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09</w:t>
            </w:r>
            <w:r>
              <w:rPr>
                <w:rFonts w:ascii="仿宋" w:hAnsi="仿宋" w:eastAsia="仿宋" w:cs="仿宋"/>
                <w:spacing w:val="-11"/>
                <w:sz w:val="24"/>
                <w:szCs w:val="24"/>
              </w:rPr>
              <w:t>日</w:t>
            </w:r>
            <w:r>
              <w:rPr>
                <w:rFonts w:ascii="仿宋" w:hAnsi="仿宋" w:eastAsia="仿宋" w:cs="仿宋"/>
                <w:spacing w:val="-94"/>
                <w:sz w:val="24"/>
                <w:szCs w:val="24"/>
                <w:u w:val="single" w:color="auto"/>
              </w:rPr>
              <w:t xml:space="preserve"> </w:t>
            </w:r>
            <w:r>
              <w:rPr>
                <w:rFonts w:hint="eastAsia" w:ascii="仿宋" w:hAnsi="仿宋" w:eastAsia="仿宋" w:cs="仿宋"/>
                <w:spacing w:val="-60"/>
                <w:sz w:val="24"/>
                <w:szCs w:val="24"/>
                <w:u w:val="single" w:color="auto"/>
                <w:lang w:val="en-US" w:eastAsia="zh-CN"/>
              </w:rPr>
              <w:t xml:space="preserve">1 4  </w:t>
            </w:r>
            <w:r>
              <w:rPr>
                <w:rFonts w:ascii="仿宋" w:hAnsi="仿宋" w:eastAsia="仿宋" w:cs="仿宋"/>
                <w:spacing w:val="-11"/>
                <w:sz w:val="24"/>
                <w:szCs w:val="24"/>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lang w:val="en-US" w:eastAsia="zh-CN"/>
        </w:rPr>
        <w:t>棉粕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lang w:val="en-US" w:eastAsia="zh-CN"/>
        </w:rPr>
        <w:t>1、</w:t>
      </w: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pPr>
        <w:spacing w:before="2"/>
        <w:ind w:right="0" w:firstLine="240" w:firstLineChars="100"/>
        <w:jc w:val="left"/>
        <w:rPr>
          <w:rFonts w:hint="eastAsia" w:ascii="仿宋" w:hAnsi="仿宋" w:eastAsia="仿宋" w:cs="仿宋"/>
          <w:b w:val="0"/>
          <w:bCs/>
          <w:sz w:val="24"/>
        </w:rPr>
      </w:pPr>
      <w:r>
        <w:rPr>
          <w:rFonts w:hint="eastAsia" w:ascii="仿宋" w:hAnsi="仿宋" w:eastAsia="仿宋" w:cs="仿宋"/>
          <w:b w:val="0"/>
          <w:bCs/>
          <w:sz w:val="24"/>
        </w:rPr>
        <w:t>颜色为黄褐色或金黄色，色泽均匀一致；具有产品固有的气味，无异味，无异臭；呈小片状或粗粉状，有时夹杂小颗粒，无霉变、无结块、无污染、无杂物。</w:t>
      </w:r>
    </w:p>
    <w:p>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738"/>
        <w:gridCol w:w="1568"/>
        <w:gridCol w:w="1285"/>
        <w:gridCol w:w="116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5" w:hRule="atLeast"/>
          <w:jc w:val="center"/>
        </w:trPr>
        <w:tc>
          <w:tcPr>
            <w:tcW w:w="4542" w:type="dxa"/>
            <w:gridSpan w:val="2"/>
            <w:vMerge w:val="restart"/>
          </w:tcPr>
          <w:p>
            <w:pPr>
              <w:pStyle w:val="8"/>
              <w:rPr>
                <w:rFonts w:hint="eastAsia" w:ascii="仿宋" w:hAnsi="仿宋" w:eastAsia="仿宋" w:cs="仿宋"/>
                <w:b/>
                <w:sz w:val="18"/>
              </w:rPr>
            </w:pPr>
          </w:p>
          <w:p>
            <w:pPr>
              <w:pStyle w:val="8"/>
              <w:spacing w:before="126"/>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306" w:type="dxa"/>
            <w:gridSpan w:val="2"/>
          </w:tcPr>
          <w:p>
            <w:pPr>
              <w:pStyle w:val="8"/>
              <w:spacing w:before="119"/>
              <w:ind w:left="1147" w:right="1115"/>
              <w:jc w:val="center"/>
              <w:rPr>
                <w:rFonts w:hint="eastAsia" w:ascii="仿宋" w:hAnsi="仿宋" w:eastAsia="仿宋" w:cs="仿宋"/>
                <w:b/>
                <w:sz w:val="18"/>
              </w:rPr>
            </w:pPr>
            <w:r>
              <w:rPr>
                <w:rFonts w:hint="eastAsia" w:ascii="仿宋" w:hAnsi="仿宋" w:eastAsia="仿宋" w:cs="仿宋"/>
                <w:b/>
                <w:sz w:val="18"/>
              </w:rPr>
              <w:t>标准值</w:t>
            </w:r>
          </w:p>
        </w:tc>
        <w:tc>
          <w:tcPr>
            <w:tcW w:w="1285" w:type="dxa"/>
            <w:vMerge w:val="restart"/>
          </w:tcPr>
          <w:p>
            <w:pPr>
              <w:pStyle w:val="8"/>
              <w:rPr>
                <w:rFonts w:hint="eastAsia" w:ascii="仿宋" w:hAnsi="仿宋" w:eastAsia="仿宋" w:cs="仿宋"/>
                <w:b/>
                <w:sz w:val="18"/>
              </w:rPr>
            </w:pPr>
          </w:p>
          <w:p>
            <w:pPr>
              <w:pStyle w:val="8"/>
              <w:spacing w:before="126"/>
              <w:ind w:left="383"/>
              <w:rPr>
                <w:rFonts w:hint="eastAsia" w:ascii="仿宋" w:hAnsi="仿宋" w:eastAsia="仿宋" w:cs="仿宋"/>
                <w:b/>
                <w:sz w:val="18"/>
              </w:rPr>
            </w:pPr>
            <w:r>
              <w:rPr>
                <w:rFonts w:hint="eastAsia" w:ascii="仿宋" w:hAnsi="仿宋" w:eastAsia="仿宋" w:cs="仿宋"/>
                <w:b/>
                <w:sz w:val="18"/>
              </w:rPr>
              <w:t>退货值</w:t>
            </w:r>
          </w:p>
        </w:tc>
        <w:tc>
          <w:tcPr>
            <w:tcW w:w="1163" w:type="dxa"/>
            <w:vMerge w:val="restart"/>
          </w:tcPr>
          <w:p>
            <w:pPr>
              <w:pStyle w:val="8"/>
              <w:rPr>
                <w:rFonts w:hint="eastAsia" w:ascii="仿宋" w:hAnsi="仿宋" w:eastAsia="仿宋" w:cs="仿宋"/>
                <w:b/>
                <w:sz w:val="18"/>
              </w:rPr>
            </w:pPr>
          </w:p>
          <w:p>
            <w:pPr>
              <w:pStyle w:val="8"/>
              <w:spacing w:before="126"/>
              <w:ind w:left="164"/>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jc w:val="center"/>
        </w:trPr>
        <w:tc>
          <w:tcPr>
            <w:tcW w:w="4542" w:type="dxa"/>
            <w:gridSpan w:val="2"/>
            <w:vMerge w:val="continue"/>
            <w:tcBorders>
              <w:top w:val="nil"/>
            </w:tcBorders>
          </w:tcPr>
          <w:p>
            <w:pPr>
              <w:rPr>
                <w:rFonts w:hint="eastAsia" w:ascii="仿宋" w:hAnsi="仿宋" w:eastAsia="仿宋" w:cs="仿宋"/>
                <w:sz w:val="2"/>
                <w:szCs w:val="2"/>
              </w:rPr>
            </w:pPr>
          </w:p>
        </w:tc>
        <w:tc>
          <w:tcPr>
            <w:tcW w:w="1738" w:type="dxa"/>
          </w:tcPr>
          <w:p>
            <w:pPr>
              <w:pStyle w:val="8"/>
              <w:spacing w:before="122"/>
              <w:ind w:left="608" w:right="577"/>
              <w:jc w:val="center"/>
              <w:rPr>
                <w:rFonts w:hint="eastAsia" w:ascii="仿宋" w:hAnsi="仿宋" w:eastAsia="仿宋" w:cs="仿宋"/>
                <w:b/>
                <w:sz w:val="18"/>
              </w:rPr>
            </w:pPr>
            <w:r>
              <w:rPr>
                <w:rFonts w:hint="eastAsia" w:ascii="仿宋" w:hAnsi="仿宋" w:eastAsia="仿宋" w:cs="仿宋"/>
                <w:b/>
                <w:sz w:val="18"/>
              </w:rPr>
              <w:t>一级</w:t>
            </w:r>
          </w:p>
        </w:tc>
        <w:tc>
          <w:tcPr>
            <w:tcW w:w="1568" w:type="dxa"/>
          </w:tcPr>
          <w:p>
            <w:pPr>
              <w:pStyle w:val="8"/>
              <w:spacing w:before="122"/>
              <w:ind w:left="612"/>
              <w:rPr>
                <w:rFonts w:hint="eastAsia" w:ascii="仿宋" w:hAnsi="仿宋" w:eastAsia="仿宋" w:cs="仿宋"/>
                <w:b/>
                <w:sz w:val="18"/>
              </w:rPr>
            </w:pPr>
            <w:r>
              <w:rPr>
                <w:rFonts w:hint="eastAsia" w:ascii="仿宋" w:hAnsi="仿宋" w:eastAsia="仿宋" w:cs="仿宋"/>
                <w:b/>
                <w:sz w:val="18"/>
              </w:rPr>
              <w:t>二级</w:t>
            </w:r>
          </w:p>
        </w:tc>
        <w:tc>
          <w:tcPr>
            <w:tcW w:w="1285" w:type="dxa"/>
            <w:vMerge w:val="continue"/>
            <w:tcBorders>
              <w:top w:val="nil"/>
            </w:tcBorders>
          </w:tcPr>
          <w:p>
            <w:pPr>
              <w:rPr>
                <w:rFonts w:hint="eastAsia" w:ascii="仿宋" w:hAnsi="仿宋" w:eastAsia="仿宋" w:cs="仿宋"/>
                <w:sz w:val="2"/>
                <w:szCs w:val="2"/>
              </w:rPr>
            </w:pPr>
          </w:p>
        </w:tc>
        <w:tc>
          <w:tcPr>
            <w:tcW w:w="1163" w:type="dxa"/>
            <w:vMerge w:val="continue"/>
            <w:tcBorders>
              <w:top w:val="nil"/>
            </w:tcBorders>
          </w:tcPr>
          <w:p>
            <w:pPr>
              <w:rPr>
                <w:rFonts w:hint="eastAsia" w:ascii="仿宋" w:hAnsi="仿宋" w:eastAsia="仿宋" w:cs="仿宋"/>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1119" w:type="dxa"/>
            <w:vMerge w:val="restart"/>
          </w:tcPr>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spacing w:before="135"/>
              <w:ind w:left="203"/>
              <w:rPr>
                <w:rFonts w:hint="eastAsia" w:ascii="仿宋" w:hAnsi="仿宋" w:eastAsia="仿宋" w:cs="仿宋"/>
                <w:sz w:val="18"/>
              </w:rPr>
            </w:pPr>
            <w:r>
              <w:rPr>
                <w:rFonts w:hint="eastAsia" w:ascii="仿宋" w:hAnsi="仿宋" w:eastAsia="仿宋" w:cs="仿宋"/>
                <w:sz w:val="18"/>
              </w:rPr>
              <w:t>风险指标</w:t>
            </w:r>
          </w:p>
        </w:tc>
        <w:tc>
          <w:tcPr>
            <w:tcW w:w="3423" w:type="dxa"/>
          </w:tcPr>
          <w:p>
            <w:pPr>
              <w:pStyle w:val="8"/>
              <w:spacing w:before="121"/>
              <w:ind w:left="114"/>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306" w:type="dxa"/>
            <w:gridSpan w:val="2"/>
          </w:tcPr>
          <w:p>
            <w:pPr>
              <w:pStyle w:val="8"/>
              <w:spacing w:before="121"/>
              <w:ind w:left="1144" w:right="1115"/>
              <w:jc w:val="center"/>
              <w:rPr>
                <w:rFonts w:hint="eastAsia" w:ascii="仿宋" w:hAnsi="仿宋" w:eastAsia="仿宋" w:cs="仿宋"/>
                <w:sz w:val="18"/>
              </w:rPr>
            </w:pPr>
            <w:r>
              <w:rPr>
                <w:rFonts w:hint="eastAsia" w:ascii="仿宋" w:hAnsi="仿宋" w:eastAsia="仿宋" w:cs="仿宋"/>
                <w:sz w:val="18"/>
              </w:rPr>
              <w:t>≤2</w:t>
            </w:r>
          </w:p>
        </w:tc>
        <w:tc>
          <w:tcPr>
            <w:tcW w:w="1285" w:type="dxa"/>
          </w:tcPr>
          <w:p>
            <w:pPr>
              <w:pStyle w:val="8"/>
              <w:spacing w:before="121"/>
              <w:ind w:left="210" w:right="179"/>
              <w:jc w:val="center"/>
              <w:rPr>
                <w:rFonts w:hint="eastAsia" w:ascii="仿宋" w:hAnsi="仿宋" w:eastAsia="仿宋" w:cs="仿宋"/>
                <w:sz w:val="18"/>
              </w:rPr>
            </w:pPr>
            <w:r>
              <w:rPr>
                <w:rFonts w:hint="eastAsia" w:ascii="仿宋" w:hAnsi="仿宋" w:eastAsia="仿宋" w:cs="仿宋"/>
                <w:sz w:val="18"/>
              </w:rPr>
              <w:t>＞2</w:t>
            </w:r>
          </w:p>
        </w:tc>
        <w:tc>
          <w:tcPr>
            <w:tcW w:w="1163" w:type="dxa"/>
          </w:tcPr>
          <w:p>
            <w:pPr>
              <w:pStyle w:val="8"/>
              <w:spacing w:before="121"/>
              <w:ind w:left="411"/>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tcPr>
          <w:p>
            <w:pPr>
              <w:pStyle w:val="8"/>
              <w:spacing w:before="118"/>
              <w:ind w:left="114"/>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306" w:type="dxa"/>
            <w:gridSpan w:val="2"/>
          </w:tcPr>
          <w:p>
            <w:pPr>
              <w:pStyle w:val="8"/>
              <w:spacing w:before="119"/>
              <w:ind w:left="1144" w:right="1115"/>
              <w:jc w:val="center"/>
              <w:rPr>
                <w:rFonts w:hint="eastAsia" w:ascii="仿宋" w:hAnsi="仿宋" w:eastAsia="仿宋" w:cs="仿宋"/>
                <w:sz w:val="18"/>
              </w:rPr>
            </w:pPr>
            <w:r>
              <w:rPr>
                <w:rFonts w:hint="eastAsia" w:ascii="仿宋" w:hAnsi="仿宋" w:eastAsia="仿宋" w:cs="仿宋"/>
                <w:sz w:val="18"/>
              </w:rPr>
              <w:t>≤5</w:t>
            </w:r>
          </w:p>
        </w:tc>
        <w:tc>
          <w:tcPr>
            <w:tcW w:w="1285" w:type="dxa"/>
          </w:tcPr>
          <w:p>
            <w:pPr>
              <w:pStyle w:val="8"/>
              <w:spacing w:before="119"/>
              <w:ind w:left="210" w:right="179"/>
              <w:jc w:val="center"/>
              <w:rPr>
                <w:rFonts w:hint="eastAsia" w:ascii="仿宋" w:hAnsi="仿宋" w:eastAsia="仿宋" w:cs="仿宋"/>
                <w:sz w:val="18"/>
              </w:rPr>
            </w:pPr>
            <w:r>
              <w:rPr>
                <w:rFonts w:hint="eastAsia" w:ascii="仿宋" w:hAnsi="仿宋" w:eastAsia="仿宋" w:cs="仿宋"/>
                <w:sz w:val="18"/>
              </w:rPr>
              <w:t>＞5</w:t>
            </w:r>
          </w:p>
        </w:tc>
        <w:tc>
          <w:tcPr>
            <w:tcW w:w="1163" w:type="dxa"/>
          </w:tcPr>
          <w:p>
            <w:pPr>
              <w:pStyle w:val="8"/>
              <w:spacing w:before="119"/>
              <w:ind w:left="411"/>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tcPr>
          <w:p>
            <w:pPr>
              <w:pStyle w:val="8"/>
              <w:spacing w:before="120"/>
              <w:ind w:left="114"/>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306" w:type="dxa"/>
            <w:gridSpan w:val="2"/>
          </w:tcPr>
          <w:p>
            <w:pPr>
              <w:pStyle w:val="8"/>
              <w:spacing w:before="120"/>
              <w:ind w:left="1144" w:right="1115"/>
              <w:jc w:val="center"/>
              <w:rPr>
                <w:rFonts w:hint="eastAsia" w:ascii="仿宋" w:hAnsi="仿宋" w:eastAsia="仿宋" w:cs="仿宋"/>
                <w:sz w:val="18"/>
              </w:rPr>
            </w:pPr>
            <w:r>
              <w:rPr>
                <w:rFonts w:hint="eastAsia" w:ascii="仿宋" w:hAnsi="仿宋" w:eastAsia="仿宋" w:cs="仿宋"/>
                <w:sz w:val="18"/>
              </w:rPr>
              <w:t>≤5</w:t>
            </w:r>
          </w:p>
        </w:tc>
        <w:tc>
          <w:tcPr>
            <w:tcW w:w="1285" w:type="dxa"/>
          </w:tcPr>
          <w:p>
            <w:pPr>
              <w:pStyle w:val="8"/>
              <w:spacing w:before="120"/>
              <w:ind w:left="210" w:right="179"/>
              <w:jc w:val="center"/>
              <w:rPr>
                <w:rFonts w:hint="eastAsia" w:ascii="仿宋" w:hAnsi="仿宋" w:eastAsia="仿宋" w:cs="仿宋"/>
                <w:sz w:val="18"/>
              </w:rPr>
            </w:pPr>
            <w:r>
              <w:rPr>
                <w:rFonts w:hint="eastAsia" w:ascii="仿宋" w:hAnsi="仿宋" w:eastAsia="仿宋" w:cs="仿宋"/>
                <w:sz w:val="18"/>
              </w:rPr>
              <w:t>＞5</w:t>
            </w:r>
          </w:p>
        </w:tc>
        <w:tc>
          <w:tcPr>
            <w:tcW w:w="1163" w:type="dxa"/>
          </w:tcPr>
          <w:p>
            <w:pPr>
              <w:pStyle w:val="8"/>
              <w:spacing w:before="120"/>
              <w:ind w:left="411"/>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6" w:hRule="atLeast"/>
          <w:jc w:val="center"/>
        </w:trPr>
        <w:tc>
          <w:tcPr>
            <w:tcW w:w="1119" w:type="dxa"/>
            <w:vMerge w:val="restart"/>
          </w:tcPr>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spacing w:before="9"/>
              <w:rPr>
                <w:rFonts w:hint="eastAsia" w:ascii="仿宋" w:hAnsi="仿宋" w:eastAsia="仿宋" w:cs="仿宋"/>
                <w:b/>
                <w:sz w:val="23"/>
              </w:rPr>
            </w:pPr>
          </w:p>
          <w:p>
            <w:pPr>
              <w:pStyle w:val="8"/>
              <w:ind w:left="179"/>
              <w:rPr>
                <w:rFonts w:hint="eastAsia" w:ascii="仿宋" w:hAnsi="仿宋" w:eastAsia="仿宋" w:cs="仿宋"/>
                <w:sz w:val="18"/>
              </w:rPr>
            </w:pPr>
            <w:r>
              <w:rPr>
                <w:rFonts w:hint="eastAsia" w:ascii="仿宋" w:hAnsi="仿宋" w:eastAsia="仿宋" w:cs="仿宋"/>
                <w:sz w:val="18"/>
              </w:rPr>
              <w:t>理化指标</w:t>
            </w:r>
          </w:p>
        </w:tc>
        <w:tc>
          <w:tcPr>
            <w:tcW w:w="3423" w:type="dxa"/>
          </w:tcPr>
          <w:p>
            <w:pPr>
              <w:pStyle w:val="8"/>
              <w:spacing w:before="120"/>
              <w:ind w:left="114"/>
              <w:rPr>
                <w:rFonts w:hint="eastAsia" w:ascii="仿宋" w:hAnsi="仿宋" w:eastAsia="仿宋" w:cs="仿宋"/>
                <w:sz w:val="18"/>
              </w:rPr>
            </w:pPr>
            <w:r>
              <w:rPr>
                <w:rFonts w:hint="eastAsia" w:ascii="仿宋" w:hAnsi="仿宋" w:eastAsia="仿宋" w:cs="仿宋"/>
                <w:sz w:val="18"/>
              </w:rPr>
              <w:t>水分（%）</w:t>
            </w:r>
          </w:p>
        </w:tc>
        <w:tc>
          <w:tcPr>
            <w:tcW w:w="3306" w:type="dxa"/>
            <w:gridSpan w:val="2"/>
          </w:tcPr>
          <w:p>
            <w:pPr>
              <w:pStyle w:val="8"/>
              <w:spacing w:before="120"/>
              <w:ind w:left="1146" w:right="1115"/>
              <w:jc w:val="center"/>
              <w:rPr>
                <w:rFonts w:hint="eastAsia" w:ascii="仿宋" w:hAnsi="仿宋" w:eastAsia="仿宋" w:cs="仿宋"/>
                <w:sz w:val="18"/>
              </w:rPr>
            </w:pPr>
            <w:r>
              <w:rPr>
                <w:rFonts w:hint="eastAsia" w:ascii="仿宋" w:hAnsi="仿宋" w:eastAsia="仿宋" w:cs="仿宋"/>
                <w:sz w:val="18"/>
              </w:rPr>
              <w:t>≤12.0</w:t>
            </w:r>
          </w:p>
        </w:tc>
        <w:tc>
          <w:tcPr>
            <w:tcW w:w="1285" w:type="dxa"/>
          </w:tcPr>
          <w:p>
            <w:pPr>
              <w:pStyle w:val="8"/>
              <w:spacing w:before="120"/>
              <w:ind w:left="208" w:right="179"/>
              <w:jc w:val="center"/>
              <w:rPr>
                <w:rFonts w:hint="eastAsia" w:ascii="仿宋" w:hAnsi="仿宋" w:eastAsia="仿宋" w:cs="仿宋"/>
                <w:sz w:val="18"/>
              </w:rPr>
            </w:pPr>
            <w:r>
              <w:rPr>
                <w:rFonts w:hint="eastAsia" w:ascii="仿宋" w:hAnsi="仿宋" w:eastAsia="仿宋" w:cs="仿宋"/>
                <w:sz w:val="18"/>
              </w:rPr>
              <w:t>＞13.0</w:t>
            </w:r>
          </w:p>
        </w:tc>
        <w:tc>
          <w:tcPr>
            <w:tcW w:w="1163" w:type="dxa"/>
          </w:tcPr>
          <w:p>
            <w:pPr>
              <w:pStyle w:val="8"/>
              <w:spacing w:before="120"/>
              <w:ind w:left="411"/>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tcPr>
          <w:p>
            <w:pPr>
              <w:pStyle w:val="8"/>
              <w:spacing w:before="119"/>
              <w:ind w:left="114"/>
              <w:rPr>
                <w:rFonts w:hint="eastAsia" w:ascii="仿宋" w:hAnsi="仿宋" w:eastAsia="仿宋" w:cs="仿宋"/>
                <w:sz w:val="18"/>
              </w:rPr>
            </w:pPr>
            <w:r>
              <w:rPr>
                <w:rFonts w:hint="eastAsia" w:ascii="仿宋" w:hAnsi="仿宋" w:eastAsia="仿宋" w:cs="仿宋"/>
                <w:sz w:val="18"/>
              </w:rPr>
              <w:t>粗蛋白（%）</w:t>
            </w:r>
          </w:p>
        </w:tc>
        <w:tc>
          <w:tcPr>
            <w:tcW w:w="1738" w:type="dxa"/>
          </w:tcPr>
          <w:p>
            <w:pPr>
              <w:pStyle w:val="8"/>
              <w:spacing w:before="119"/>
              <w:ind w:right="579" w:firstLine="540" w:firstLineChars="300"/>
              <w:jc w:val="both"/>
              <w:rPr>
                <w:rFonts w:hint="eastAsia" w:ascii="仿宋" w:hAnsi="仿宋" w:eastAsia="仿宋" w:cs="仿宋"/>
                <w:sz w:val="18"/>
              </w:rPr>
            </w:pPr>
            <w:r>
              <w:rPr>
                <w:rFonts w:hint="eastAsia" w:ascii="仿宋" w:hAnsi="仿宋" w:eastAsia="仿宋" w:cs="仿宋"/>
                <w:sz w:val="18"/>
              </w:rPr>
              <w:t>≥46.0</w:t>
            </w:r>
          </w:p>
        </w:tc>
        <w:tc>
          <w:tcPr>
            <w:tcW w:w="1568" w:type="dxa"/>
          </w:tcPr>
          <w:p>
            <w:pPr>
              <w:pStyle w:val="8"/>
              <w:spacing w:before="119"/>
              <w:ind w:left="564"/>
              <w:rPr>
                <w:rFonts w:hint="eastAsia" w:ascii="仿宋" w:hAnsi="仿宋" w:eastAsia="仿宋" w:cs="仿宋"/>
                <w:sz w:val="18"/>
              </w:rPr>
            </w:pPr>
            <w:r>
              <w:rPr>
                <w:rFonts w:hint="eastAsia" w:ascii="仿宋" w:hAnsi="仿宋" w:eastAsia="仿宋" w:cs="仿宋"/>
                <w:sz w:val="18"/>
              </w:rPr>
              <w:t>≥42.0</w:t>
            </w:r>
          </w:p>
        </w:tc>
        <w:tc>
          <w:tcPr>
            <w:tcW w:w="1285" w:type="dxa"/>
          </w:tcPr>
          <w:p>
            <w:pPr>
              <w:pStyle w:val="8"/>
              <w:spacing w:before="119"/>
              <w:ind w:right="179"/>
              <w:jc w:val="both"/>
              <w:rPr>
                <w:rFonts w:hint="eastAsia" w:ascii="仿宋" w:hAnsi="仿宋" w:eastAsia="仿宋" w:cs="仿宋"/>
                <w:sz w:val="18"/>
              </w:rPr>
            </w:pPr>
            <w:r>
              <w:rPr>
                <w:rFonts w:hint="eastAsia" w:ascii="仿宋" w:hAnsi="仿宋" w:eastAsia="仿宋" w:cs="仿宋"/>
                <w:sz w:val="18"/>
              </w:rPr>
              <w:t>每级-1.3 %</w:t>
            </w:r>
          </w:p>
        </w:tc>
        <w:tc>
          <w:tcPr>
            <w:tcW w:w="1163" w:type="dxa"/>
          </w:tcPr>
          <w:p>
            <w:pPr>
              <w:pStyle w:val="8"/>
              <w:spacing w:before="119"/>
              <w:ind w:left="411"/>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tcPr>
          <w:p>
            <w:pPr>
              <w:pStyle w:val="8"/>
              <w:spacing w:before="122"/>
              <w:ind w:left="114"/>
              <w:rPr>
                <w:rFonts w:hint="eastAsia" w:ascii="仿宋" w:hAnsi="仿宋" w:eastAsia="仿宋" w:cs="仿宋"/>
                <w:sz w:val="18"/>
              </w:rPr>
            </w:pPr>
            <w:r>
              <w:rPr>
                <w:rFonts w:hint="eastAsia" w:ascii="仿宋" w:hAnsi="仿宋" w:eastAsia="仿宋" w:cs="仿宋"/>
                <w:sz w:val="18"/>
              </w:rPr>
              <w:t>粗灰分（%）</w:t>
            </w:r>
          </w:p>
        </w:tc>
        <w:tc>
          <w:tcPr>
            <w:tcW w:w="3306" w:type="dxa"/>
            <w:gridSpan w:val="2"/>
          </w:tcPr>
          <w:p>
            <w:pPr>
              <w:pStyle w:val="8"/>
              <w:spacing w:before="122"/>
              <w:ind w:left="1148" w:right="1115"/>
              <w:jc w:val="center"/>
              <w:rPr>
                <w:rFonts w:hint="eastAsia" w:ascii="仿宋" w:hAnsi="仿宋" w:eastAsia="仿宋" w:cs="仿宋"/>
                <w:sz w:val="18"/>
              </w:rPr>
            </w:pPr>
            <w:r>
              <w:rPr>
                <w:rFonts w:hint="eastAsia" w:ascii="仿宋" w:hAnsi="仿宋" w:eastAsia="仿宋" w:cs="仿宋"/>
                <w:sz w:val="18"/>
              </w:rPr>
              <w:t>≤8.0</w:t>
            </w:r>
          </w:p>
        </w:tc>
        <w:tc>
          <w:tcPr>
            <w:tcW w:w="1285" w:type="dxa"/>
          </w:tcPr>
          <w:p>
            <w:pPr>
              <w:pStyle w:val="8"/>
              <w:spacing w:before="122"/>
              <w:ind w:left="210" w:right="176"/>
              <w:jc w:val="center"/>
              <w:rPr>
                <w:rFonts w:hint="eastAsia" w:ascii="仿宋" w:hAnsi="仿宋" w:eastAsia="仿宋" w:cs="仿宋"/>
                <w:sz w:val="18"/>
              </w:rPr>
            </w:pPr>
            <w:r>
              <w:rPr>
                <w:rFonts w:hint="eastAsia" w:ascii="仿宋" w:hAnsi="仿宋" w:eastAsia="仿宋" w:cs="仿宋"/>
                <w:sz w:val="18"/>
              </w:rPr>
              <w:t>＞9.0</w:t>
            </w:r>
          </w:p>
        </w:tc>
        <w:tc>
          <w:tcPr>
            <w:tcW w:w="1163" w:type="dxa"/>
          </w:tcPr>
          <w:p>
            <w:pPr>
              <w:pStyle w:val="8"/>
              <w:spacing w:before="122"/>
              <w:ind w:left="411"/>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tcPr>
          <w:p>
            <w:pPr>
              <w:pStyle w:val="8"/>
              <w:spacing w:before="120"/>
              <w:ind w:left="114"/>
              <w:rPr>
                <w:rFonts w:hint="eastAsia" w:ascii="仿宋" w:hAnsi="仿宋" w:eastAsia="仿宋" w:cs="仿宋"/>
                <w:sz w:val="18"/>
              </w:rPr>
            </w:pPr>
            <w:r>
              <w:rPr>
                <w:rFonts w:hint="eastAsia" w:ascii="仿宋" w:hAnsi="仿宋" w:eastAsia="仿宋" w:cs="仿宋"/>
                <w:sz w:val="18"/>
              </w:rPr>
              <w:t>棉絮（%）</w:t>
            </w:r>
          </w:p>
        </w:tc>
        <w:tc>
          <w:tcPr>
            <w:tcW w:w="3306" w:type="dxa"/>
            <w:gridSpan w:val="2"/>
          </w:tcPr>
          <w:p>
            <w:pPr>
              <w:pStyle w:val="8"/>
              <w:spacing w:before="120"/>
              <w:ind w:left="1148" w:right="1115"/>
              <w:jc w:val="center"/>
              <w:rPr>
                <w:rFonts w:hint="eastAsia" w:ascii="仿宋" w:hAnsi="仿宋" w:eastAsia="仿宋" w:cs="仿宋"/>
                <w:sz w:val="18"/>
              </w:rPr>
            </w:pPr>
            <w:r>
              <w:rPr>
                <w:rFonts w:hint="eastAsia" w:ascii="仿宋" w:hAnsi="仿宋" w:eastAsia="仿宋" w:cs="仿宋"/>
                <w:sz w:val="18"/>
              </w:rPr>
              <w:t>≤6.0</w:t>
            </w:r>
          </w:p>
        </w:tc>
        <w:tc>
          <w:tcPr>
            <w:tcW w:w="1285" w:type="dxa"/>
          </w:tcPr>
          <w:p>
            <w:pPr>
              <w:pStyle w:val="8"/>
              <w:spacing w:before="120"/>
              <w:ind w:left="210" w:right="176"/>
              <w:jc w:val="center"/>
              <w:rPr>
                <w:rFonts w:hint="eastAsia" w:ascii="仿宋" w:hAnsi="仿宋" w:eastAsia="仿宋" w:cs="仿宋"/>
                <w:sz w:val="18"/>
              </w:rPr>
            </w:pPr>
            <w:r>
              <w:rPr>
                <w:rFonts w:hint="eastAsia" w:ascii="仿宋" w:hAnsi="仿宋" w:eastAsia="仿宋" w:cs="仿宋"/>
                <w:sz w:val="18"/>
              </w:rPr>
              <w:t>＞6.0</w:t>
            </w:r>
          </w:p>
        </w:tc>
        <w:tc>
          <w:tcPr>
            <w:tcW w:w="1163" w:type="dxa"/>
          </w:tcPr>
          <w:p>
            <w:pPr>
              <w:pStyle w:val="8"/>
              <w:spacing w:before="120"/>
              <w:ind w:left="411"/>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tcPr>
          <w:p>
            <w:pPr>
              <w:pStyle w:val="8"/>
              <w:spacing w:before="121"/>
              <w:ind w:left="114"/>
              <w:rPr>
                <w:rFonts w:hint="eastAsia" w:ascii="仿宋" w:hAnsi="仿宋" w:eastAsia="仿宋" w:cs="仿宋"/>
                <w:sz w:val="18"/>
              </w:rPr>
            </w:pPr>
            <w:r>
              <w:rPr>
                <w:rFonts w:hint="eastAsia" w:ascii="仿宋" w:hAnsi="仿宋" w:eastAsia="仿宋" w:cs="仿宋"/>
                <w:sz w:val="18"/>
              </w:rPr>
              <w:t>粗纤维（%）</w:t>
            </w:r>
          </w:p>
        </w:tc>
        <w:tc>
          <w:tcPr>
            <w:tcW w:w="3306" w:type="dxa"/>
            <w:gridSpan w:val="2"/>
          </w:tcPr>
          <w:p>
            <w:pPr>
              <w:pStyle w:val="8"/>
              <w:spacing w:before="119"/>
              <w:ind w:left="1144" w:right="1115"/>
              <w:jc w:val="center"/>
              <w:rPr>
                <w:rFonts w:hint="eastAsia" w:ascii="仿宋" w:hAnsi="仿宋" w:eastAsia="仿宋" w:cs="仿宋"/>
                <w:sz w:val="18"/>
              </w:rPr>
            </w:pPr>
            <w:r>
              <w:rPr>
                <w:rFonts w:hint="eastAsia" w:ascii="仿宋" w:hAnsi="仿宋" w:eastAsia="仿宋" w:cs="仿宋"/>
                <w:sz w:val="18"/>
              </w:rPr>
              <w:t>≤12.0</w:t>
            </w:r>
          </w:p>
        </w:tc>
        <w:tc>
          <w:tcPr>
            <w:tcW w:w="1285" w:type="dxa"/>
          </w:tcPr>
          <w:p>
            <w:pPr>
              <w:pStyle w:val="8"/>
              <w:spacing w:before="119"/>
              <w:ind w:left="210" w:right="179"/>
              <w:jc w:val="center"/>
              <w:rPr>
                <w:rFonts w:hint="eastAsia" w:ascii="仿宋" w:hAnsi="仿宋" w:eastAsia="仿宋" w:cs="仿宋"/>
                <w:sz w:val="18"/>
              </w:rPr>
            </w:pPr>
            <w:r>
              <w:rPr>
                <w:rFonts w:hint="eastAsia" w:ascii="仿宋" w:hAnsi="仿宋" w:eastAsia="仿宋" w:cs="仿宋"/>
                <w:sz w:val="18"/>
              </w:rPr>
              <w:t>＞14.0</w:t>
            </w:r>
          </w:p>
        </w:tc>
        <w:tc>
          <w:tcPr>
            <w:tcW w:w="1163" w:type="dxa"/>
          </w:tcPr>
          <w:p>
            <w:pPr>
              <w:pStyle w:val="8"/>
              <w:spacing w:before="119"/>
              <w:ind w:left="411"/>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tcPr>
          <w:p>
            <w:pPr>
              <w:pStyle w:val="8"/>
              <w:spacing w:before="122"/>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306" w:type="dxa"/>
            <w:gridSpan w:val="2"/>
          </w:tcPr>
          <w:p>
            <w:pPr>
              <w:pStyle w:val="8"/>
              <w:spacing w:before="122"/>
              <w:ind w:left="1236" w:right="1115"/>
              <w:jc w:val="center"/>
              <w:rPr>
                <w:rFonts w:hint="eastAsia" w:ascii="仿宋" w:hAnsi="仿宋" w:eastAsia="仿宋" w:cs="仿宋"/>
                <w:b/>
                <w:sz w:val="18"/>
              </w:rPr>
            </w:pPr>
            <w:r>
              <w:rPr>
                <w:rFonts w:hint="eastAsia" w:ascii="仿宋" w:hAnsi="仿宋" w:eastAsia="仿宋" w:cs="仿宋"/>
                <w:b/>
                <w:sz w:val="18"/>
              </w:rPr>
              <w:t>方法</w:t>
            </w:r>
          </w:p>
        </w:tc>
        <w:tc>
          <w:tcPr>
            <w:tcW w:w="1285" w:type="dxa"/>
          </w:tcPr>
          <w:p>
            <w:pPr>
              <w:pStyle w:val="8"/>
              <w:spacing w:before="119"/>
              <w:ind w:left="195" w:right="179"/>
              <w:jc w:val="center"/>
              <w:rPr>
                <w:rFonts w:hint="eastAsia" w:ascii="仿宋" w:hAnsi="仿宋" w:eastAsia="仿宋" w:cs="仿宋"/>
                <w:b/>
                <w:sz w:val="18"/>
              </w:rPr>
            </w:pPr>
            <w:r>
              <w:rPr>
                <w:rFonts w:hint="eastAsia" w:ascii="仿宋" w:hAnsi="仿宋" w:eastAsia="仿宋" w:cs="仿宋"/>
                <w:b/>
                <w:sz w:val="18"/>
              </w:rPr>
              <w:t>退货值</w:t>
            </w:r>
          </w:p>
        </w:tc>
        <w:tc>
          <w:tcPr>
            <w:tcW w:w="1163" w:type="dxa"/>
          </w:tcPr>
          <w:p>
            <w:pPr>
              <w:pStyle w:val="8"/>
              <w:spacing w:before="119"/>
              <w:ind w:left="116"/>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vMerge w:val="restart"/>
          </w:tcPr>
          <w:p>
            <w:pPr>
              <w:pStyle w:val="8"/>
              <w:rPr>
                <w:rFonts w:hint="eastAsia" w:ascii="仿宋" w:hAnsi="仿宋" w:eastAsia="仿宋" w:cs="仿宋"/>
                <w:b/>
                <w:sz w:val="18"/>
              </w:rPr>
            </w:pPr>
          </w:p>
          <w:p>
            <w:pPr>
              <w:pStyle w:val="8"/>
              <w:rPr>
                <w:rFonts w:hint="eastAsia" w:ascii="仿宋" w:hAnsi="仿宋" w:eastAsia="仿宋" w:cs="仿宋"/>
                <w:b/>
                <w:sz w:val="17"/>
              </w:rPr>
            </w:pPr>
          </w:p>
          <w:p>
            <w:pPr>
              <w:pStyle w:val="8"/>
              <w:ind w:left="186"/>
              <w:rPr>
                <w:rFonts w:hint="eastAsia" w:ascii="仿宋" w:hAnsi="仿宋" w:eastAsia="仿宋" w:cs="仿宋"/>
                <w:sz w:val="18"/>
              </w:rPr>
            </w:pPr>
            <w:r>
              <w:rPr>
                <w:rFonts w:hint="eastAsia" w:ascii="仿宋" w:hAnsi="仿宋" w:eastAsia="仿宋" w:cs="仿宋"/>
                <w:sz w:val="18"/>
              </w:rPr>
              <w:t>掺假检测（定性）</w:t>
            </w:r>
          </w:p>
        </w:tc>
        <w:tc>
          <w:tcPr>
            <w:tcW w:w="3306" w:type="dxa"/>
            <w:gridSpan w:val="2"/>
          </w:tcPr>
          <w:p>
            <w:pPr>
              <w:pStyle w:val="8"/>
              <w:spacing w:before="122"/>
              <w:ind w:left="1234" w:right="1115"/>
              <w:jc w:val="center"/>
              <w:rPr>
                <w:rFonts w:hint="eastAsia" w:ascii="仿宋" w:hAnsi="仿宋" w:eastAsia="仿宋" w:cs="仿宋"/>
                <w:sz w:val="18"/>
              </w:rPr>
            </w:pPr>
            <w:r>
              <w:rPr>
                <w:rFonts w:hint="eastAsia" w:ascii="仿宋" w:hAnsi="仿宋" w:eastAsia="仿宋" w:cs="仿宋"/>
                <w:sz w:val="18"/>
              </w:rPr>
              <w:t>镜检</w:t>
            </w:r>
          </w:p>
        </w:tc>
        <w:tc>
          <w:tcPr>
            <w:tcW w:w="1285" w:type="dxa"/>
          </w:tcPr>
          <w:p>
            <w:pPr>
              <w:pStyle w:val="8"/>
              <w:spacing w:before="119"/>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pPr>
              <w:pStyle w:val="8"/>
              <w:spacing w:before="119"/>
              <w:ind w:left="411"/>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vMerge w:val="continue"/>
            <w:tcBorders>
              <w:top w:val="nil"/>
            </w:tcBorders>
          </w:tcPr>
          <w:p>
            <w:pPr>
              <w:rPr>
                <w:rFonts w:hint="eastAsia" w:ascii="仿宋" w:hAnsi="仿宋" w:eastAsia="仿宋" w:cs="仿宋"/>
                <w:sz w:val="2"/>
                <w:szCs w:val="2"/>
              </w:rPr>
            </w:pPr>
          </w:p>
        </w:tc>
        <w:tc>
          <w:tcPr>
            <w:tcW w:w="3306" w:type="dxa"/>
            <w:gridSpan w:val="2"/>
          </w:tcPr>
          <w:p>
            <w:pPr>
              <w:pStyle w:val="8"/>
              <w:spacing w:before="122"/>
              <w:ind w:left="1236" w:right="1115"/>
              <w:jc w:val="center"/>
              <w:rPr>
                <w:rFonts w:hint="eastAsia" w:ascii="仿宋" w:hAnsi="仿宋" w:eastAsia="仿宋" w:cs="仿宋"/>
                <w:sz w:val="18"/>
              </w:rPr>
            </w:pPr>
            <w:r>
              <w:rPr>
                <w:rFonts w:hint="eastAsia" w:ascii="仿宋" w:hAnsi="仿宋" w:eastAsia="仿宋" w:cs="仿宋"/>
                <w:sz w:val="18"/>
              </w:rPr>
              <w:t>盐酸法</w:t>
            </w:r>
          </w:p>
        </w:tc>
        <w:tc>
          <w:tcPr>
            <w:tcW w:w="1285" w:type="dxa"/>
          </w:tcPr>
          <w:p>
            <w:pPr>
              <w:pStyle w:val="8"/>
              <w:spacing w:before="120"/>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pPr>
              <w:pStyle w:val="8"/>
              <w:spacing w:before="120"/>
              <w:ind w:left="411"/>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jc w:val="center"/>
        </w:trPr>
        <w:tc>
          <w:tcPr>
            <w:tcW w:w="1119" w:type="dxa"/>
            <w:vMerge w:val="continue"/>
            <w:tcBorders>
              <w:top w:val="nil"/>
            </w:tcBorders>
          </w:tcPr>
          <w:p>
            <w:pPr>
              <w:rPr>
                <w:rFonts w:hint="eastAsia" w:ascii="仿宋" w:hAnsi="仿宋" w:eastAsia="仿宋" w:cs="仿宋"/>
                <w:sz w:val="2"/>
                <w:szCs w:val="2"/>
              </w:rPr>
            </w:pPr>
          </w:p>
        </w:tc>
        <w:tc>
          <w:tcPr>
            <w:tcW w:w="3423" w:type="dxa"/>
            <w:vMerge w:val="continue"/>
            <w:tcBorders>
              <w:top w:val="nil"/>
            </w:tcBorders>
          </w:tcPr>
          <w:p>
            <w:pPr>
              <w:rPr>
                <w:rFonts w:hint="eastAsia" w:ascii="仿宋" w:hAnsi="仿宋" w:eastAsia="仿宋" w:cs="仿宋"/>
                <w:sz w:val="2"/>
                <w:szCs w:val="2"/>
              </w:rPr>
            </w:pPr>
          </w:p>
        </w:tc>
        <w:tc>
          <w:tcPr>
            <w:tcW w:w="3306" w:type="dxa"/>
            <w:gridSpan w:val="2"/>
          </w:tcPr>
          <w:p>
            <w:pPr>
              <w:pStyle w:val="8"/>
              <w:spacing w:before="122"/>
              <w:ind w:left="1236" w:right="1115"/>
              <w:jc w:val="center"/>
              <w:rPr>
                <w:rFonts w:hint="eastAsia" w:ascii="仿宋" w:hAnsi="仿宋" w:eastAsia="仿宋" w:cs="仿宋"/>
                <w:sz w:val="18"/>
              </w:rPr>
            </w:pPr>
            <w:r>
              <w:rPr>
                <w:rFonts w:hint="eastAsia" w:ascii="仿宋" w:hAnsi="仿宋" w:eastAsia="仿宋" w:cs="仿宋"/>
                <w:sz w:val="18"/>
              </w:rPr>
              <w:t>四氯化碳法</w:t>
            </w:r>
          </w:p>
        </w:tc>
        <w:tc>
          <w:tcPr>
            <w:tcW w:w="1285" w:type="dxa"/>
          </w:tcPr>
          <w:p>
            <w:pPr>
              <w:pStyle w:val="8"/>
              <w:spacing w:before="120"/>
              <w:ind w:left="15"/>
              <w:jc w:val="center"/>
              <w:rPr>
                <w:rFonts w:hint="eastAsia" w:ascii="仿宋" w:hAnsi="仿宋" w:eastAsia="仿宋" w:cs="仿宋"/>
                <w:sz w:val="18"/>
              </w:rPr>
            </w:pPr>
            <w:r>
              <w:rPr>
                <w:rFonts w:hint="eastAsia" w:ascii="仿宋" w:hAnsi="仿宋" w:eastAsia="仿宋" w:cs="仿宋"/>
                <w:sz w:val="18"/>
              </w:rPr>
              <w:t>-</w:t>
            </w:r>
          </w:p>
        </w:tc>
        <w:tc>
          <w:tcPr>
            <w:tcW w:w="1163" w:type="dxa"/>
          </w:tcPr>
          <w:p>
            <w:pPr>
              <w:pStyle w:val="8"/>
              <w:spacing w:before="120"/>
              <w:ind w:left="411"/>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6" w:hRule="atLeast"/>
          <w:jc w:val="center"/>
        </w:trPr>
        <w:tc>
          <w:tcPr>
            <w:tcW w:w="1119" w:type="dxa"/>
            <w:vMerge w:val="restart"/>
          </w:tcPr>
          <w:p>
            <w:pPr>
              <w:pStyle w:val="8"/>
              <w:rPr>
                <w:rFonts w:hint="eastAsia" w:ascii="仿宋" w:hAnsi="仿宋" w:eastAsia="仿宋" w:cs="仿宋"/>
                <w:b/>
                <w:sz w:val="18"/>
              </w:rPr>
            </w:pPr>
          </w:p>
          <w:p>
            <w:pPr>
              <w:pStyle w:val="8"/>
              <w:spacing w:before="134"/>
              <w:ind w:left="203"/>
              <w:rPr>
                <w:rFonts w:hint="eastAsia" w:ascii="仿宋" w:hAnsi="仿宋" w:eastAsia="仿宋" w:cs="仿宋"/>
                <w:sz w:val="18"/>
              </w:rPr>
            </w:pPr>
            <w:r>
              <w:rPr>
                <w:rFonts w:hint="eastAsia" w:ascii="仿宋" w:hAnsi="仿宋" w:eastAsia="仿宋" w:cs="仿宋"/>
                <w:sz w:val="18"/>
              </w:rPr>
              <w:t>卫生指标</w:t>
            </w:r>
          </w:p>
        </w:tc>
        <w:tc>
          <w:tcPr>
            <w:tcW w:w="3423" w:type="dxa"/>
          </w:tcPr>
          <w:p>
            <w:pPr>
              <w:pStyle w:val="8"/>
              <w:spacing w:before="120"/>
              <w:ind w:left="114"/>
              <w:rPr>
                <w:rFonts w:hint="eastAsia" w:ascii="仿宋" w:hAnsi="仿宋" w:eastAsia="仿宋" w:cs="仿宋"/>
                <w:sz w:val="18"/>
              </w:rPr>
            </w:pPr>
            <w:r>
              <w:rPr>
                <w:rFonts w:hint="eastAsia" w:ascii="仿宋" w:hAnsi="仿宋" w:eastAsia="仿宋" w:cs="仿宋"/>
                <w:sz w:val="18"/>
              </w:rPr>
              <w:t>游离棉酚（mg/kg</w:t>
            </w:r>
            <w:r>
              <w:rPr>
                <w:rFonts w:hint="eastAsia" w:ascii="仿宋" w:hAnsi="仿宋" w:eastAsia="仿宋" w:cs="仿宋"/>
                <w:sz w:val="18"/>
                <w:lang w:eastAsia="zh-CN"/>
              </w:rPr>
              <w:t>）</w:t>
            </w:r>
          </w:p>
        </w:tc>
        <w:tc>
          <w:tcPr>
            <w:tcW w:w="3306" w:type="dxa"/>
            <w:gridSpan w:val="2"/>
          </w:tcPr>
          <w:p>
            <w:pPr>
              <w:pStyle w:val="8"/>
              <w:spacing w:before="120"/>
              <w:ind w:left="1148" w:right="1115"/>
              <w:jc w:val="center"/>
              <w:rPr>
                <w:rFonts w:hint="eastAsia" w:ascii="仿宋" w:hAnsi="仿宋" w:eastAsia="仿宋" w:cs="仿宋"/>
                <w:sz w:val="18"/>
              </w:rPr>
            </w:pPr>
            <w:r>
              <w:rPr>
                <w:rFonts w:hint="eastAsia" w:ascii="仿宋" w:hAnsi="仿宋" w:eastAsia="仿宋" w:cs="仿宋"/>
                <w:sz w:val="18"/>
              </w:rPr>
              <w:t>≤1200</w:t>
            </w:r>
          </w:p>
        </w:tc>
        <w:tc>
          <w:tcPr>
            <w:tcW w:w="1285" w:type="dxa"/>
          </w:tcPr>
          <w:p>
            <w:pPr>
              <w:pStyle w:val="8"/>
              <w:spacing w:before="120"/>
              <w:ind w:left="210" w:right="179"/>
              <w:jc w:val="center"/>
              <w:rPr>
                <w:rFonts w:hint="eastAsia" w:ascii="仿宋" w:hAnsi="仿宋" w:eastAsia="仿宋" w:cs="仿宋"/>
                <w:sz w:val="18"/>
              </w:rPr>
            </w:pPr>
            <w:r>
              <w:rPr>
                <w:rFonts w:hint="eastAsia" w:ascii="仿宋" w:hAnsi="仿宋" w:eastAsia="仿宋" w:cs="仿宋"/>
                <w:sz w:val="18"/>
              </w:rPr>
              <w:t>＞1310</w:t>
            </w:r>
          </w:p>
        </w:tc>
        <w:tc>
          <w:tcPr>
            <w:tcW w:w="1163" w:type="dxa"/>
          </w:tcPr>
          <w:p>
            <w:pPr>
              <w:pStyle w:val="8"/>
              <w:spacing w:before="120"/>
              <w:ind w:left="411"/>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3" w:hRule="atLeast"/>
          <w:jc w:val="center"/>
        </w:trPr>
        <w:tc>
          <w:tcPr>
            <w:tcW w:w="1119" w:type="dxa"/>
            <w:vMerge w:val="continue"/>
            <w:tcBorders>
              <w:top w:val="nil"/>
            </w:tcBorders>
          </w:tcPr>
          <w:p>
            <w:pPr>
              <w:rPr>
                <w:rFonts w:hint="eastAsia" w:ascii="仿宋" w:hAnsi="仿宋" w:eastAsia="仿宋" w:cs="仿宋"/>
                <w:sz w:val="2"/>
                <w:szCs w:val="2"/>
              </w:rPr>
            </w:pPr>
          </w:p>
        </w:tc>
        <w:tc>
          <w:tcPr>
            <w:tcW w:w="9177" w:type="dxa"/>
            <w:gridSpan w:val="5"/>
          </w:tcPr>
          <w:p>
            <w:pPr>
              <w:pStyle w:val="8"/>
              <w:spacing w:before="124"/>
              <w:ind w:left="2916" w:right="2881"/>
              <w:jc w:val="center"/>
              <w:rPr>
                <w:rFonts w:hint="eastAsia" w:ascii="仿宋" w:hAnsi="仿宋" w:eastAsia="仿宋" w:cs="仿宋"/>
                <w:sz w:val="18"/>
              </w:rPr>
            </w:pPr>
            <w:r>
              <w:rPr>
                <w:rFonts w:hint="eastAsia" w:ascii="仿宋" w:hAnsi="仿宋" w:eastAsia="仿宋" w:cs="仿宋"/>
                <w:sz w:val="18"/>
              </w:rPr>
              <w:t>其他卫生指标执行GB13078-2017 规定标准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6" w:hRule="atLeast"/>
          <w:jc w:val="center"/>
        </w:trPr>
        <w:tc>
          <w:tcPr>
            <w:tcW w:w="10296" w:type="dxa"/>
            <w:gridSpan w:val="6"/>
          </w:tcPr>
          <w:p>
            <w:pPr>
              <w:pStyle w:val="8"/>
              <w:spacing w:before="121"/>
              <w:ind w:left="112"/>
              <w:rPr>
                <w:rFonts w:hint="eastAsia" w:ascii="仿宋" w:hAnsi="仿宋" w:eastAsia="仿宋" w:cs="仿宋"/>
                <w:sz w:val="18"/>
              </w:rPr>
            </w:pPr>
            <w:r>
              <w:rPr>
                <w:rFonts w:hint="eastAsia" w:ascii="仿宋" w:hAnsi="仿宋" w:eastAsia="仿宋" w:cs="仿宋"/>
                <w:sz w:val="18"/>
              </w:rPr>
              <w:t>备注：1、呕吐毒素预警值为 1 mg/kg；</w:t>
            </w:r>
          </w:p>
          <w:p>
            <w:pPr>
              <w:pStyle w:val="8"/>
              <w:spacing w:before="121"/>
              <w:ind w:left="112" w:firstLine="540" w:firstLineChars="300"/>
              <w:rPr>
                <w:rFonts w:hint="eastAsia" w:ascii="仿宋" w:hAnsi="仿宋" w:eastAsia="仿宋" w:cs="仿宋"/>
                <w:b/>
                <w:sz w:val="16"/>
                <w:lang w:val="en-US" w:eastAsia="zh-CN"/>
              </w:rPr>
            </w:pPr>
            <w:r>
              <w:rPr>
                <w:rFonts w:hint="eastAsia" w:ascii="仿宋" w:hAnsi="仿宋" w:eastAsia="仿宋" w:cs="仿宋"/>
                <w:sz w:val="18"/>
              </w:rPr>
              <w:t>2、游离棉酚预警值为 1000 mg/kg;</w:t>
            </w:r>
          </w:p>
          <w:p>
            <w:pPr>
              <w:pStyle w:val="8"/>
              <w:ind w:left="652"/>
              <w:rPr>
                <w:rFonts w:hint="eastAsia" w:ascii="仿宋" w:hAnsi="仿宋" w:eastAsia="仿宋" w:cs="仿宋"/>
                <w:b/>
                <w:sz w:val="17"/>
              </w:rPr>
            </w:pPr>
            <w:r>
              <w:rPr>
                <w:rFonts w:hint="eastAsia" w:ascii="仿宋" w:hAnsi="仿宋" w:eastAsia="仿宋" w:cs="仿宋"/>
                <w:sz w:val="18"/>
              </w:rPr>
              <w:t>3、表中所列限量，除特别注明外均以干物质含量 88 %为基础计算（霉菌总数、细菌总数、沙门氏菌除外）；</w:t>
            </w:r>
          </w:p>
          <w:p>
            <w:pPr>
              <w:pStyle w:val="8"/>
              <w:ind w:left="652"/>
              <w:rPr>
                <w:rFonts w:hint="eastAsia" w:ascii="仿宋" w:hAnsi="仿宋" w:eastAsia="仿宋" w:cs="仿宋"/>
                <w:sz w:val="18"/>
              </w:rPr>
            </w:pPr>
            <w:r>
              <w:rPr>
                <w:rFonts w:hint="eastAsia" w:ascii="仿宋" w:hAnsi="仿宋" w:eastAsia="仿宋" w:cs="仿宋"/>
                <w:sz w:val="18"/>
              </w:rPr>
              <w:t>4、棉絮的收集方法为取不少于 200 g 棉粕样经粉碎后，过 12 目的标准筛，即可分离出棉絮；</w:t>
            </w:r>
          </w:p>
          <w:p>
            <w:pPr>
              <w:pStyle w:val="8"/>
              <w:ind w:left="652"/>
              <w:rPr>
                <w:rFonts w:hint="eastAsia" w:ascii="仿宋" w:hAnsi="仿宋" w:eastAsia="仿宋" w:cs="仿宋"/>
                <w:sz w:val="18"/>
              </w:rPr>
            </w:pPr>
            <w:r>
              <w:rPr>
                <w:rFonts w:hint="eastAsia" w:ascii="仿宋" w:hAnsi="仿宋" w:eastAsia="仿宋" w:cs="仿宋"/>
                <w:position w:val="1"/>
                <w:sz w:val="18"/>
              </w:rPr>
              <w:t>5</w:t>
            </w:r>
            <w:r>
              <w:rPr>
                <w:rFonts w:hint="eastAsia" w:ascii="仿宋" w:hAnsi="仿宋" w:eastAsia="仿宋" w:cs="仿宋"/>
                <w:sz w:val="21"/>
              </w:rPr>
              <w:t>、</w:t>
            </w:r>
            <w:r>
              <w:rPr>
                <w:rFonts w:hint="eastAsia" w:ascii="仿宋" w:hAnsi="仿宋" w:eastAsia="仿宋" w:cs="仿宋"/>
                <w:position w:val="1"/>
                <w:sz w:val="18"/>
              </w:rPr>
              <w:t>风险指标和卫生指标不合格，拒收处置。</w:t>
            </w:r>
          </w:p>
        </w:tc>
      </w:tr>
    </w:tbl>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leftChars="0" w:right="0" w:rightChars="0"/>
        <w:jc w:val="left"/>
        <w:textAlignment w:val="baseline"/>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right="0" w:rightChars="0"/>
        <w:jc w:val="left"/>
        <w:textAlignment w:val="baseline"/>
        <w:rPr>
          <w:rFonts w:hint="eastAsia" w:ascii="仿宋" w:hAnsi="仿宋" w:eastAsia="仿宋" w:cs="仿宋"/>
          <w:b/>
          <w:sz w:val="24"/>
        </w:rPr>
      </w:pPr>
      <w:r>
        <w:rPr>
          <w:rFonts w:hint="eastAsia" w:ascii="仿宋" w:hAnsi="仿宋" w:eastAsia="仿宋" w:cs="仿宋"/>
          <w:b w:val="0"/>
          <w:bCs/>
          <w:sz w:val="24"/>
        </w:rPr>
        <w:t>标签标识符合 GB 10648-2013中相关要求。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pPr>
        <w:keepNext w:val="0"/>
        <w:keepLines w:val="0"/>
        <w:pageBreakBefore w:val="0"/>
        <w:widowControl/>
        <w:tabs>
          <w:tab w:val="left" w:pos="7461"/>
        </w:tabs>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lang w:eastAsia="zh-CN"/>
        </w:rPr>
      </w:pPr>
      <w:r>
        <w:rPr>
          <w:rFonts w:hint="eastAsia" w:ascii="仿宋" w:hAnsi="仿宋" w:eastAsia="仿宋" w:cs="仿宋"/>
          <w:b w:val="0"/>
          <w:bCs w:val="0"/>
          <w:sz w:val="24"/>
          <w:szCs w:val="24"/>
        </w:rPr>
        <w:t>包装、运输和储存符合 GB/T 21264-2007中的要求。</w:t>
      </w:r>
      <w:r>
        <w:rPr>
          <w:rFonts w:hint="eastAsia" w:ascii="仿宋" w:hAnsi="仿宋" w:eastAsia="仿宋" w:cs="仿宋"/>
          <w:b w:val="0"/>
          <w:bCs w:val="0"/>
          <w:sz w:val="24"/>
          <w:szCs w:val="24"/>
          <w:lang w:eastAsia="zh-CN"/>
        </w:rPr>
        <w:tab/>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667"/>
        <w:gridCol w:w="1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667"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eastAsia="zh-CN"/>
              </w:rPr>
              <w:t>）</w:t>
            </w:r>
          </w:p>
        </w:tc>
        <w:tc>
          <w:tcPr>
            <w:tcW w:w="1628"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5626708"/>
    <w:rsid w:val="067D6800"/>
    <w:rsid w:val="078925D1"/>
    <w:rsid w:val="131A3B1D"/>
    <w:rsid w:val="1DD9284F"/>
    <w:rsid w:val="1F5E2442"/>
    <w:rsid w:val="20C560FB"/>
    <w:rsid w:val="22887589"/>
    <w:rsid w:val="385C0B47"/>
    <w:rsid w:val="3A16031F"/>
    <w:rsid w:val="3A3D1515"/>
    <w:rsid w:val="3CC6127F"/>
    <w:rsid w:val="3E431CA2"/>
    <w:rsid w:val="3F817533"/>
    <w:rsid w:val="40081B38"/>
    <w:rsid w:val="43881600"/>
    <w:rsid w:val="4445400D"/>
    <w:rsid w:val="44C33E45"/>
    <w:rsid w:val="4E5E4E88"/>
    <w:rsid w:val="53252A3D"/>
    <w:rsid w:val="53C70BC0"/>
    <w:rsid w:val="59270DD1"/>
    <w:rsid w:val="631725C7"/>
    <w:rsid w:val="6D782F21"/>
    <w:rsid w:val="701F7B0E"/>
    <w:rsid w:val="707B5D4B"/>
    <w:rsid w:val="72D8479F"/>
    <w:rsid w:val="74CC105E"/>
    <w:rsid w:val="76C014C1"/>
    <w:rsid w:val="773C3348"/>
    <w:rsid w:val="7AF73267"/>
    <w:rsid w:val="7C3B3A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2042</Words>
  <Characters>2265</Characters>
  <TotalTime>4</TotalTime>
  <ScaleCrop>false</ScaleCrop>
  <LinksUpToDate>false</LinksUpToDate>
  <CharactersWithSpaces>3286</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2024-04-02T02:16:06Z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