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hint="eastAsia" w:ascii="仿宋" w:hAnsi="仿宋" w:eastAsia="仿宋" w:cs="仿宋"/>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2024年度氯化钠</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w:t>
      </w:r>
      <w:bookmarkStart w:id="0" w:name="_GoBack"/>
      <w:bookmarkEnd w:id="0"/>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-CG-LHN-20240521</w:t>
      </w:r>
    </w:p>
    <w:p>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lang w:eastAsia="zh-CN"/>
          <w14:textOutline w14:w="4064" w14:cap="flat" w14:cmpd="sng">
            <w14:solidFill>
              <w14:srgbClr w14:val="000000"/>
            </w14:solidFill>
            <w14:prstDash w14:val="solid"/>
            <w14:miter w14:val="0"/>
          </w14:textOutline>
        </w:rPr>
        <w:t>甘肃圣康源生物科技有限公司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610" w:bottom="0" w:left="1616"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6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2068"/>
        <w:gridCol w:w="6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377"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2024年度氯化钠</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甘州区石岗墩开发区</w:t>
            </w:r>
            <w:r>
              <w:rPr>
                <w:rFonts w:hint="eastAsia" w:ascii="仿宋" w:hAnsi="仿宋" w:eastAsia="仿宋" w:cs="仿宋"/>
                <w:spacing w:val="-5"/>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2024年6月-2025年5月，根据圣康源月计划进行供货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2024年度氯化钠</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377" w:type="dxa"/>
            <w:vAlign w:val="top"/>
          </w:tcPr>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05</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21</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08</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hint="eastAsia" w:ascii="仿宋" w:hAnsi="仿宋" w:eastAsia="仿宋" w:cs="仿宋"/>
                <w:spacing w:val="-11"/>
                <w:sz w:val="24"/>
                <w:szCs w:val="24"/>
                <w:u w:val="single"/>
                <w:lang w:val="en-US" w:eastAsia="zh-CN"/>
              </w:rPr>
              <w:t>30分</w:t>
            </w:r>
            <w:r>
              <w:rPr>
                <w:rFonts w:ascii="仿宋" w:hAnsi="仿宋" w:eastAsia="仿宋" w:cs="仿宋"/>
                <w:spacing w:val="-11"/>
                <w:sz w:val="24"/>
                <w:szCs w:val="24"/>
              </w:rPr>
              <w:t>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377"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pPr>
        <w:spacing w:line="235" w:lineRule="exact"/>
      </w:pPr>
    </w:p>
    <w:p>
      <w:pPr>
        <w:rPr>
          <w:rFonts w:ascii="Arial"/>
          <w:sz w:val="21"/>
        </w:rPr>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spacing w:before="0" w:line="491" w:lineRule="auto"/>
        <w:ind w:right="7562"/>
        <w:jc w:val="left"/>
        <w:rPr>
          <w:b/>
          <w:spacing w:val="-5"/>
          <w:sz w:val="24"/>
        </w:rPr>
      </w:pPr>
      <w:r>
        <w:rPr>
          <w:b/>
          <w:spacing w:val="-5"/>
          <w:sz w:val="24"/>
        </w:rPr>
        <w:t>饲料添加剂氯化钠</w:t>
      </w:r>
    </w:p>
    <w:p>
      <w:pPr>
        <w:spacing w:before="0" w:line="491" w:lineRule="auto"/>
        <w:ind w:right="7562"/>
        <w:jc w:val="left"/>
        <w:rPr>
          <w:b/>
          <w:sz w:val="24"/>
        </w:rPr>
      </w:pPr>
      <w:r>
        <w:rPr>
          <w:b/>
          <w:spacing w:val="-3"/>
          <w:sz w:val="24"/>
        </w:rPr>
        <w:t>1</w:t>
      </w:r>
      <w:r>
        <w:rPr>
          <w:b/>
          <w:spacing w:val="-1"/>
          <w:sz w:val="24"/>
        </w:rPr>
        <w:t>、感官指标</w:t>
      </w:r>
    </w:p>
    <w:p>
      <w:pPr>
        <w:spacing w:before="0" w:line="491" w:lineRule="auto"/>
        <w:ind w:right="3778"/>
        <w:jc w:val="left"/>
        <w:rPr>
          <w:spacing w:val="-3"/>
          <w:sz w:val="24"/>
        </w:rPr>
      </w:pPr>
      <w:r>
        <w:rPr>
          <w:spacing w:val="-3"/>
          <w:sz w:val="24"/>
        </w:rPr>
        <w:t>白色，无可见外来异物，味咸，无苦涩味、无异味。</w:t>
      </w:r>
    </w:p>
    <w:p>
      <w:pPr>
        <w:spacing w:before="0" w:line="491" w:lineRule="auto"/>
        <w:ind w:right="3778"/>
        <w:jc w:val="left"/>
        <w:rPr>
          <w:b/>
          <w:sz w:val="24"/>
        </w:rPr>
      </w:pPr>
      <w:r>
        <w:rPr>
          <w:b/>
          <w:spacing w:val="-3"/>
          <w:sz w:val="24"/>
        </w:rPr>
        <w:t>2、技术指标</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3832"/>
        <w:gridCol w:w="1305"/>
        <w:gridCol w:w="1300"/>
        <w:gridCol w:w="13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4992" w:type="dxa"/>
            <w:gridSpan w:val="2"/>
          </w:tcPr>
          <w:p>
            <w:pPr>
              <w:pStyle w:val="9"/>
              <w:spacing w:before="119"/>
              <w:ind w:left="2302" w:right="2278"/>
              <w:jc w:val="center"/>
              <w:rPr>
                <w:b/>
                <w:sz w:val="18"/>
              </w:rPr>
            </w:pPr>
            <w:r>
              <w:rPr>
                <w:b/>
                <w:sz w:val="18"/>
              </w:rPr>
              <w:t>项目</w:t>
            </w:r>
          </w:p>
        </w:tc>
        <w:tc>
          <w:tcPr>
            <w:tcW w:w="1305" w:type="dxa"/>
          </w:tcPr>
          <w:p>
            <w:pPr>
              <w:pStyle w:val="9"/>
              <w:spacing w:before="119"/>
              <w:ind w:left="479"/>
              <w:rPr>
                <w:b/>
                <w:sz w:val="18"/>
              </w:rPr>
            </w:pPr>
            <w:r>
              <w:rPr>
                <w:b/>
                <w:sz w:val="18"/>
              </w:rPr>
              <w:t>指标</w:t>
            </w:r>
          </w:p>
        </w:tc>
        <w:tc>
          <w:tcPr>
            <w:tcW w:w="1300" w:type="dxa"/>
          </w:tcPr>
          <w:p>
            <w:pPr>
              <w:pStyle w:val="9"/>
              <w:spacing w:before="119"/>
              <w:ind w:left="387" w:right="275"/>
              <w:jc w:val="center"/>
              <w:rPr>
                <w:b/>
                <w:sz w:val="18"/>
              </w:rPr>
            </w:pPr>
            <w:r>
              <w:rPr>
                <w:b/>
                <w:sz w:val="18"/>
              </w:rPr>
              <w:t>退货值</w:t>
            </w:r>
          </w:p>
        </w:tc>
        <w:tc>
          <w:tcPr>
            <w:tcW w:w="1350" w:type="dxa"/>
          </w:tcPr>
          <w:p>
            <w:pPr>
              <w:pStyle w:val="9"/>
              <w:spacing w:before="119"/>
              <w:ind w:left="297" w:right="279"/>
              <w:jc w:val="center"/>
              <w:rPr>
                <w:b/>
                <w:sz w:val="18"/>
              </w:rPr>
            </w:pPr>
            <w:r>
              <w:rPr>
                <w:b/>
                <w:sz w:val="18"/>
              </w:rPr>
              <w:t>检验要求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pPr>
              <w:pStyle w:val="9"/>
              <w:rPr>
                <w:b/>
                <w:sz w:val="18"/>
              </w:rPr>
            </w:pPr>
          </w:p>
          <w:p>
            <w:pPr>
              <w:pStyle w:val="9"/>
              <w:rPr>
                <w:b/>
                <w:sz w:val="18"/>
              </w:rPr>
            </w:pPr>
          </w:p>
          <w:p>
            <w:pPr>
              <w:pStyle w:val="9"/>
              <w:rPr>
                <w:b/>
                <w:sz w:val="18"/>
              </w:rPr>
            </w:pPr>
          </w:p>
          <w:p>
            <w:pPr>
              <w:pStyle w:val="9"/>
              <w:spacing w:before="148"/>
              <w:ind w:left="223"/>
              <w:rPr>
                <w:sz w:val="18"/>
              </w:rPr>
            </w:pPr>
            <w:r>
              <w:rPr>
                <w:sz w:val="18"/>
              </w:rPr>
              <w:t>理化指标</w:t>
            </w:r>
          </w:p>
        </w:tc>
        <w:tc>
          <w:tcPr>
            <w:tcW w:w="3832" w:type="dxa"/>
          </w:tcPr>
          <w:p>
            <w:pPr>
              <w:pStyle w:val="9"/>
              <w:spacing w:before="120"/>
              <w:ind w:left="111"/>
              <w:rPr>
                <w:sz w:val="18"/>
              </w:rPr>
            </w:pPr>
            <w:r>
              <w:rPr>
                <w:sz w:val="18"/>
              </w:rPr>
              <w:t>水分（</w:t>
            </w:r>
            <w:r>
              <w:rPr>
                <w:rFonts w:ascii="Times New Roman" w:eastAsia="Times New Roman"/>
                <w:sz w:val="18"/>
              </w:rPr>
              <w:t>%</w:t>
            </w:r>
            <w:r>
              <w:rPr>
                <w:sz w:val="18"/>
              </w:rPr>
              <w:t>）</w:t>
            </w:r>
          </w:p>
        </w:tc>
        <w:tc>
          <w:tcPr>
            <w:tcW w:w="1305" w:type="dxa"/>
          </w:tcPr>
          <w:p>
            <w:pPr>
              <w:pStyle w:val="9"/>
              <w:spacing w:before="118"/>
              <w:ind w:left="506"/>
              <w:rPr>
                <w:rFonts w:ascii="Times New Roman" w:hAnsi="Times New Roman"/>
                <w:sz w:val="18"/>
              </w:rPr>
            </w:pPr>
            <w:r>
              <w:rPr>
                <w:sz w:val="18"/>
              </w:rPr>
              <w:t>≤</w:t>
            </w:r>
            <w:r>
              <w:rPr>
                <w:rFonts w:ascii="Times New Roman" w:hAnsi="Times New Roman"/>
                <w:sz w:val="18"/>
              </w:rPr>
              <w:t>5.0</w:t>
            </w:r>
          </w:p>
        </w:tc>
        <w:tc>
          <w:tcPr>
            <w:tcW w:w="1300" w:type="dxa"/>
          </w:tcPr>
          <w:p>
            <w:pPr>
              <w:pStyle w:val="9"/>
              <w:spacing w:before="118"/>
              <w:ind w:left="319" w:right="297"/>
              <w:jc w:val="center"/>
              <w:rPr>
                <w:rFonts w:ascii="Times New Roman" w:eastAsia="Times New Roman"/>
                <w:sz w:val="18"/>
              </w:rPr>
            </w:pPr>
            <w:r>
              <w:rPr>
                <w:sz w:val="18"/>
              </w:rPr>
              <w:t>＞</w:t>
            </w:r>
            <w:r>
              <w:rPr>
                <w:rFonts w:ascii="Times New Roman" w:eastAsia="Times New Roman"/>
                <w:sz w:val="18"/>
              </w:rPr>
              <w:t>6</w:t>
            </w:r>
          </w:p>
        </w:tc>
        <w:tc>
          <w:tcPr>
            <w:tcW w:w="1350" w:type="dxa"/>
          </w:tcPr>
          <w:p>
            <w:pPr>
              <w:pStyle w:val="9"/>
              <w:spacing w:before="118"/>
              <w:ind w:left="297" w:right="276"/>
              <w:jc w:val="center"/>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pPr>
              <w:rPr>
                <w:sz w:val="2"/>
                <w:szCs w:val="2"/>
              </w:rPr>
            </w:pPr>
          </w:p>
        </w:tc>
        <w:tc>
          <w:tcPr>
            <w:tcW w:w="3832" w:type="dxa"/>
          </w:tcPr>
          <w:p>
            <w:pPr>
              <w:pStyle w:val="9"/>
              <w:spacing w:before="120"/>
              <w:ind w:left="111"/>
              <w:rPr>
                <w:sz w:val="18"/>
              </w:rPr>
            </w:pPr>
            <w:r>
              <w:rPr>
                <w:sz w:val="18"/>
              </w:rPr>
              <w:t>氯化钠（</w:t>
            </w:r>
            <w:r>
              <w:rPr>
                <w:rFonts w:ascii="Times New Roman" w:eastAsia="Times New Roman"/>
                <w:sz w:val="18"/>
              </w:rPr>
              <w:t>%</w:t>
            </w:r>
            <w:r>
              <w:rPr>
                <w:sz w:val="18"/>
              </w:rPr>
              <w:t>）</w:t>
            </w:r>
          </w:p>
        </w:tc>
        <w:tc>
          <w:tcPr>
            <w:tcW w:w="1305" w:type="dxa"/>
          </w:tcPr>
          <w:p>
            <w:pPr>
              <w:pStyle w:val="9"/>
              <w:spacing w:before="120"/>
              <w:ind w:left="482"/>
              <w:rPr>
                <w:rFonts w:ascii="Times New Roman" w:hAnsi="Times New Roman"/>
                <w:sz w:val="18"/>
              </w:rPr>
            </w:pPr>
            <w:r>
              <w:rPr>
                <w:sz w:val="18"/>
              </w:rPr>
              <w:t>≥</w:t>
            </w:r>
            <w:r>
              <w:rPr>
                <w:rFonts w:ascii="Times New Roman" w:hAnsi="Times New Roman"/>
                <w:sz w:val="18"/>
              </w:rPr>
              <w:t>91</w:t>
            </w:r>
          </w:p>
        </w:tc>
        <w:tc>
          <w:tcPr>
            <w:tcW w:w="1300" w:type="dxa"/>
          </w:tcPr>
          <w:p>
            <w:pPr>
              <w:pStyle w:val="9"/>
              <w:spacing w:before="120"/>
              <w:ind w:left="317" w:right="297"/>
              <w:jc w:val="center"/>
              <w:rPr>
                <w:rFonts w:ascii="Times New Roman" w:eastAsia="Times New Roman"/>
                <w:sz w:val="18"/>
              </w:rPr>
            </w:pPr>
            <w:r>
              <w:rPr>
                <w:sz w:val="18"/>
              </w:rPr>
              <w:t>＜</w:t>
            </w:r>
            <w:r>
              <w:rPr>
                <w:rFonts w:ascii="Times New Roman" w:eastAsia="Times New Roman"/>
                <w:sz w:val="18"/>
              </w:rPr>
              <w:t>89.5</w:t>
            </w:r>
          </w:p>
        </w:tc>
        <w:tc>
          <w:tcPr>
            <w:tcW w:w="1350" w:type="dxa"/>
          </w:tcPr>
          <w:p>
            <w:pPr>
              <w:pStyle w:val="9"/>
              <w:spacing w:before="120"/>
              <w:ind w:left="297" w:right="276"/>
              <w:jc w:val="center"/>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pPr>
              <w:rPr>
                <w:sz w:val="2"/>
                <w:szCs w:val="2"/>
              </w:rPr>
            </w:pPr>
          </w:p>
        </w:tc>
        <w:tc>
          <w:tcPr>
            <w:tcW w:w="3832" w:type="dxa"/>
          </w:tcPr>
          <w:p>
            <w:pPr>
              <w:pStyle w:val="9"/>
              <w:spacing w:before="119"/>
              <w:ind w:left="111"/>
              <w:rPr>
                <w:sz w:val="18"/>
              </w:rPr>
            </w:pPr>
            <w:r>
              <w:rPr>
                <w:sz w:val="18"/>
              </w:rPr>
              <w:t>水不溶物（</w:t>
            </w:r>
            <w:r>
              <w:rPr>
                <w:rFonts w:ascii="Times New Roman" w:eastAsia="Times New Roman"/>
                <w:sz w:val="18"/>
              </w:rPr>
              <w:t>%</w:t>
            </w:r>
            <w:r>
              <w:rPr>
                <w:sz w:val="18"/>
              </w:rPr>
              <w:t>）</w:t>
            </w:r>
          </w:p>
        </w:tc>
        <w:tc>
          <w:tcPr>
            <w:tcW w:w="2605" w:type="dxa"/>
            <w:gridSpan w:val="2"/>
          </w:tcPr>
          <w:p>
            <w:pPr>
              <w:pStyle w:val="9"/>
              <w:spacing w:before="119"/>
              <w:ind w:left="1041" w:right="1017"/>
              <w:jc w:val="center"/>
              <w:rPr>
                <w:rFonts w:ascii="Times New Roman" w:hAnsi="Times New Roman"/>
                <w:sz w:val="18"/>
              </w:rPr>
            </w:pPr>
            <w:r>
              <w:rPr>
                <w:sz w:val="18"/>
              </w:rPr>
              <w:t>≤</w:t>
            </w:r>
            <w:r>
              <w:rPr>
                <w:rFonts w:ascii="Times New Roman" w:hAnsi="Times New Roman"/>
                <w:sz w:val="18"/>
              </w:rPr>
              <w:t>0.4</w:t>
            </w:r>
          </w:p>
        </w:tc>
        <w:tc>
          <w:tcPr>
            <w:tcW w:w="1350" w:type="dxa"/>
          </w:tcPr>
          <w:p>
            <w:pPr>
              <w:pStyle w:val="9"/>
              <w:spacing w:before="119"/>
              <w:ind w:left="297" w:right="276"/>
              <w:jc w:val="center"/>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pPr>
              <w:rPr>
                <w:sz w:val="2"/>
                <w:szCs w:val="2"/>
              </w:rPr>
            </w:pPr>
          </w:p>
        </w:tc>
        <w:tc>
          <w:tcPr>
            <w:tcW w:w="3832" w:type="dxa"/>
          </w:tcPr>
          <w:p>
            <w:pPr>
              <w:pStyle w:val="9"/>
              <w:spacing w:before="120"/>
              <w:ind w:left="111"/>
              <w:rPr>
                <w:sz w:val="18"/>
              </w:rPr>
            </w:pPr>
            <w:r>
              <w:rPr>
                <w:sz w:val="18"/>
              </w:rPr>
              <w:t>粒度（</w:t>
            </w:r>
            <w:r>
              <w:rPr>
                <w:rFonts w:ascii="Times New Roman" w:eastAsia="Times New Roman"/>
                <w:sz w:val="18"/>
              </w:rPr>
              <w:t xml:space="preserve">2.0mm </w:t>
            </w:r>
            <w:r>
              <w:rPr>
                <w:sz w:val="18"/>
              </w:rPr>
              <w:t>筛上物，</w:t>
            </w:r>
            <w:r>
              <w:rPr>
                <w:rFonts w:ascii="Times New Roman" w:eastAsia="Times New Roman"/>
                <w:sz w:val="18"/>
              </w:rPr>
              <w:t>%</w:t>
            </w:r>
            <w:r>
              <w:rPr>
                <w:sz w:val="18"/>
              </w:rPr>
              <w:t>）</w:t>
            </w:r>
          </w:p>
        </w:tc>
        <w:tc>
          <w:tcPr>
            <w:tcW w:w="2605" w:type="dxa"/>
            <w:gridSpan w:val="2"/>
          </w:tcPr>
          <w:p>
            <w:pPr>
              <w:pStyle w:val="9"/>
              <w:spacing w:before="117"/>
              <w:ind w:left="1041" w:right="1015"/>
              <w:jc w:val="center"/>
              <w:rPr>
                <w:rFonts w:ascii="Times New Roman" w:hAnsi="Times New Roman"/>
                <w:sz w:val="18"/>
              </w:rPr>
            </w:pPr>
            <w:r>
              <w:rPr>
                <w:sz w:val="18"/>
              </w:rPr>
              <w:t>≤</w:t>
            </w:r>
            <w:r>
              <w:rPr>
                <w:rFonts w:ascii="Times New Roman" w:hAnsi="Times New Roman"/>
                <w:sz w:val="18"/>
              </w:rPr>
              <w:t>15</w:t>
            </w:r>
          </w:p>
        </w:tc>
        <w:tc>
          <w:tcPr>
            <w:tcW w:w="1350" w:type="dxa"/>
          </w:tcPr>
          <w:p>
            <w:pPr>
              <w:pStyle w:val="9"/>
              <w:spacing w:before="117"/>
              <w:ind w:left="297" w:right="276"/>
              <w:jc w:val="center"/>
              <w:rPr>
                <w:sz w:val="18"/>
              </w:rPr>
            </w:pPr>
            <w:r>
              <w:rPr>
                <w:sz w:val="18"/>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pPr>
              <w:pStyle w:val="9"/>
              <w:rPr>
                <w:b/>
                <w:sz w:val="18"/>
              </w:rPr>
            </w:pPr>
          </w:p>
          <w:p>
            <w:pPr>
              <w:pStyle w:val="9"/>
              <w:rPr>
                <w:b/>
                <w:sz w:val="18"/>
              </w:rPr>
            </w:pPr>
          </w:p>
          <w:p>
            <w:pPr>
              <w:pStyle w:val="9"/>
              <w:spacing w:before="138"/>
              <w:ind w:left="223"/>
              <w:rPr>
                <w:sz w:val="18"/>
              </w:rPr>
            </w:pPr>
            <w:r>
              <w:rPr>
                <w:sz w:val="18"/>
              </w:rPr>
              <w:t>卫生指标</w:t>
            </w:r>
          </w:p>
        </w:tc>
        <w:tc>
          <w:tcPr>
            <w:tcW w:w="3832" w:type="dxa"/>
          </w:tcPr>
          <w:p>
            <w:pPr>
              <w:pStyle w:val="9"/>
              <w:spacing w:before="119"/>
              <w:ind w:left="111"/>
              <w:rPr>
                <w:rFonts w:ascii="Times New Roman" w:eastAsia="Times New Roman"/>
                <w:sz w:val="18"/>
              </w:rPr>
            </w:pPr>
            <w:r>
              <w:rPr>
                <w:sz w:val="18"/>
              </w:rPr>
              <w:t xml:space="preserve">总砷 </w:t>
            </w:r>
            <w:r>
              <w:rPr>
                <w:rFonts w:ascii="Times New Roman" w:eastAsia="Times New Roman"/>
                <w:sz w:val="18"/>
              </w:rPr>
              <w:t>(mg/kg)</w:t>
            </w:r>
          </w:p>
        </w:tc>
        <w:tc>
          <w:tcPr>
            <w:tcW w:w="2605" w:type="dxa"/>
            <w:gridSpan w:val="2"/>
          </w:tcPr>
          <w:p>
            <w:pPr>
              <w:pStyle w:val="9"/>
              <w:spacing w:before="119"/>
              <w:ind w:left="1036" w:right="1019"/>
              <w:jc w:val="center"/>
              <w:rPr>
                <w:rFonts w:ascii="Times New Roman" w:hAnsi="Times New Roman"/>
                <w:sz w:val="18"/>
              </w:rPr>
            </w:pPr>
            <w:r>
              <w:rPr>
                <w:sz w:val="18"/>
              </w:rPr>
              <w:t>≤</w:t>
            </w:r>
            <w:r>
              <w:rPr>
                <w:rFonts w:ascii="Times New Roman" w:hAnsi="Times New Roman"/>
                <w:sz w:val="18"/>
              </w:rPr>
              <w:t>2</w:t>
            </w:r>
          </w:p>
        </w:tc>
        <w:tc>
          <w:tcPr>
            <w:tcW w:w="1350" w:type="dxa"/>
          </w:tcPr>
          <w:p>
            <w:pPr>
              <w:pStyle w:val="9"/>
              <w:spacing w:before="119"/>
              <w:ind w:left="297" w:right="276"/>
              <w:jc w:val="center"/>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pPr>
              <w:rPr>
                <w:sz w:val="2"/>
                <w:szCs w:val="2"/>
              </w:rPr>
            </w:pPr>
          </w:p>
        </w:tc>
        <w:tc>
          <w:tcPr>
            <w:tcW w:w="3832" w:type="dxa"/>
          </w:tcPr>
          <w:p>
            <w:pPr>
              <w:pStyle w:val="9"/>
              <w:spacing w:before="119"/>
              <w:ind w:left="111"/>
              <w:rPr>
                <w:rFonts w:ascii="Times New Roman" w:eastAsia="Times New Roman"/>
                <w:sz w:val="18"/>
              </w:rPr>
            </w:pPr>
            <w:r>
              <w:rPr>
                <w:sz w:val="18"/>
              </w:rPr>
              <w:t>铅</w:t>
            </w:r>
            <w:r>
              <w:rPr>
                <w:rFonts w:ascii="Times New Roman" w:eastAsia="Times New Roman"/>
                <w:sz w:val="18"/>
              </w:rPr>
              <w:t>(mg/kg)</w:t>
            </w:r>
          </w:p>
        </w:tc>
        <w:tc>
          <w:tcPr>
            <w:tcW w:w="2605" w:type="dxa"/>
            <w:gridSpan w:val="2"/>
          </w:tcPr>
          <w:p>
            <w:pPr>
              <w:pStyle w:val="9"/>
              <w:spacing w:before="119"/>
              <w:ind w:left="1041" w:right="1015"/>
              <w:jc w:val="center"/>
              <w:rPr>
                <w:rFonts w:ascii="Times New Roman" w:hAnsi="Times New Roman"/>
                <w:sz w:val="18"/>
              </w:rPr>
            </w:pPr>
            <w:r>
              <w:rPr>
                <w:sz w:val="18"/>
              </w:rPr>
              <w:t>≤</w:t>
            </w:r>
            <w:r>
              <w:rPr>
                <w:rFonts w:ascii="Times New Roman" w:hAnsi="Times New Roman"/>
                <w:sz w:val="18"/>
              </w:rPr>
              <w:t>10</w:t>
            </w:r>
          </w:p>
        </w:tc>
        <w:tc>
          <w:tcPr>
            <w:tcW w:w="1350" w:type="dxa"/>
          </w:tcPr>
          <w:p>
            <w:pPr>
              <w:pStyle w:val="9"/>
              <w:spacing w:before="119"/>
              <w:ind w:left="297" w:right="276"/>
              <w:jc w:val="center"/>
              <w:rPr>
                <w:sz w:val="18"/>
              </w:rPr>
            </w:pPr>
            <w:r>
              <w:rPr>
                <w:sz w:val="18"/>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jc w:val="center"/>
        </w:trPr>
        <w:tc>
          <w:tcPr>
            <w:tcW w:w="1160" w:type="dxa"/>
            <w:vMerge w:val="continue"/>
            <w:tcBorders>
              <w:top w:val="nil"/>
            </w:tcBorders>
          </w:tcPr>
          <w:p>
            <w:pPr>
              <w:rPr>
                <w:sz w:val="2"/>
                <w:szCs w:val="2"/>
              </w:rPr>
            </w:pPr>
          </w:p>
        </w:tc>
        <w:tc>
          <w:tcPr>
            <w:tcW w:w="7787" w:type="dxa"/>
            <w:gridSpan w:val="4"/>
          </w:tcPr>
          <w:p>
            <w:pPr>
              <w:pStyle w:val="9"/>
              <w:spacing w:before="117"/>
              <w:ind w:left="2219" w:right="2193"/>
              <w:jc w:val="center"/>
              <w:rPr>
                <w:sz w:val="18"/>
              </w:rPr>
            </w:pPr>
            <w:r>
              <w:rPr>
                <w:sz w:val="18"/>
              </w:rPr>
              <w:t>其他卫生指标执行</w:t>
            </w:r>
            <w:r>
              <w:rPr>
                <w:rFonts w:ascii="Times New Roman" w:eastAsia="Times New Roman"/>
                <w:sz w:val="18"/>
              </w:rPr>
              <w:t xml:space="preserve">GB13078-2017 </w:t>
            </w:r>
            <w:r>
              <w:rPr>
                <w:sz w:val="18"/>
              </w:rPr>
              <w:t>规定标准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jc w:val="center"/>
        </w:trPr>
        <w:tc>
          <w:tcPr>
            <w:tcW w:w="1160" w:type="dxa"/>
            <w:vMerge w:val="continue"/>
            <w:tcBorders>
              <w:top w:val="nil"/>
            </w:tcBorders>
          </w:tcPr>
          <w:p>
            <w:pPr>
              <w:rPr>
                <w:sz w:val="2"/>
                <w:szCs w:val="2"/>
              </w:rPr>
            </w:pPr>
          </w:p>
        </w:tc>
        <w:tc>
          <w:tcPr>
            <w:tcW w:w="7787" w:type="dxa"/>
            <w:gridSpan w:val="4"/>
          </w:tcPr>
          <w:p>
            <w:pPr>
              <w:pStyle w:val="9"/>
              <w:spacing w:before="157"/>
              <w:ind w:left="467"/>
              <w:rPr>
                <w:sz w:val="18"/>
              </w:rPr>
            </w:pPr>
            <w:r>
              <w:rPr>
                <w:sz w:val="18"/>
              </w:rPr>
              <w:t>注：</w:t>
            </w:r>
            <w:r>
              <w:rPr>
                <w:rFonts w:ascii="Times New Roman" w:eastAsia="Times New Roman"/>
                <w:sz w:val="18"/>
              </w:rPr>
              <w:t>1</w:t>
            </w:r>
            <w:r>
              <w:rPr>
                <w:sz w:val="18"/>
              </w:rPr>
              <w:t>、粒度、卫生指标不合格，产品到货结块，拒收处置。</w:t>
            </w:r>
          </w:p>
        </w:tc>
      </w:tr>
    </w:tbl>
    <w:p>
      <w:pPr>
        <w:numPr>
          <w:ilvl w:val="0"/>
          <w:numId w:val="2"/>
        </w:numPr>
        <w:spacing w:before="50"/>
        <w:ind w:right="0"/>
        <w:jc w:val="left"/>
        <w:rPr>
          <w:b/>
          <w:sz w:val="24"/>
        </w:rPr>
      </w:pPr>
      <w:r>
        <w:rPr>
          <w:b/>
          <w:sz w:val="24"/>
        </w:rPr>
        <w:t>标签标识</w:t>
      </w:r>
    </w:p>
    <w:p>
      <w:pPr>
        <w:numPr>
          <w:ilvl w:val="0"/>
          <w:numId w:val="0"/>
        </w:numPr>
        <w:spacing w:before="50"/>
        <w:ind w:right="0" w:rightChars="0"/>
        <w:jc w:val="left"/>
        <w:rPr>
          <w:sz w:val="24"/>
        </w:rPr>
      </w:pPr>
      <w:r>
        <w:rPr>
          <w:sz w:val="24"/>
        </w:rPr>
        <w:t xml:space="preserve">标签标识符合 </w:t>
      </w:r>
      <w:r>
        <w:rPr>
          <w:rFonts w:ascii="Times New Roman" w:eastAsia="Times New Roman"/>
          <w:sz w:val="24"/>
        </w:rPr>
        <w:t>GB10648-2013</w:t>
      </w:r>
      <w:r>
        <w:rPr>
          <w:sz w:val="24"/>
        </w:rPr>
        <w:t>中相关要求。</w:t>
      </w:r>
    </w:p>
    <w:p>
      <w:pPr>
        <w:numPr>
          <w:ilvl w:val="0"/>
          <w:numId w:val="0"/>
        </w:numPr>
        <w:spacing w:before="50"/>
        <w:ind w:right="0" w:rightChars="0"/>
        <w:jc w:val="left"/>
        <w:rPr>
          <w:b/>
          <w:sz w:val="24"/>
        </w:rPr>
      </w:pPr>
      <w:r>
        <w:rPr>
          <w:b/>
          <w:sz w:val="24"/>
        </w:rPr>
        <w:t>4、包装、储存、运输</w:t>
      </w:r>
    </w:p>
    <w:p>
      <w:pPr>
        <w:pStyle w:val="3"/>
        <w:spacing w:line="306" w:lineRule="exact"/>
      </w:pPr>
      <w:r>
        <w:t xml:space="preserve">执行 </w:t>
      </w:r>
      <w:r>
        <w:rPr>
          <w:rFonts w:ascii="Times New Roman" w:eastAsia="Times New Roman"/>
        </w:rPr>
        <w:t>GB/T21513-2008</w:t>
      </w:r>
      <w:r>
        <w:t>中相关规定。</w:t>
      </w:r>
    </w:p>
    <w:p>
      <w:pPr>
        <w:pStyle w:val="3"/>
        <w:rPr>
          <w:rFonts w:hint="eastAsia" w:ascii="仿宋" w:hAnsi="仿宋" w:eastAsia="仿宋" w:cs="仿宋"/>
          <w:b/>
          <w:bCs/>
          <w:sz w:val="28"/>
          <w:szCs w:val="28"/>
          <w:lang w:val="en-US" w:eastAsia="zh-CN"/>
        </w:rPr>
      </w:pPr>
    </w:p>
    <w:p>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304" w:bottom="1338" w:left="1134" w:header="799" w:footer="723" w:gutter="0"/>
          <w:cols w:space="720" w:num="1"/>
        </w:sectPr>
      </w:pPr>
      <w:r>
        <w:rPr>
          <w:rFonts w:hint="eastAsia" w:ascii="仿宋" w:hAnsi="仿宋" w:eastAsia="仿宋" w:cs="仿宋"/>
          <w:b/>
          <w:bCs/>
          <w:sz w:val="24"/>
          <w:szCs w:val="24"/>
        </w:rPr>
        <w:t>3、运输过程中产生的所有费用，由供货方自行承担。</w:t>
      </w:r>
    </w:p>
    <w:p>
      <w:pPr>
        <w:pStyle w:val="3"/>
        <w:spacing w:before="1"/>
        <w:rPr>
          <w:b/>
          <w:sz w:val="7"/>
        </w:rPr>
      </w:pPr>
    </w:p>
    <w:p>
      <w:pPr>
        <w:pStyle w:val="3"/>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3"/>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numPr>
          <w:ilvl w:val="0"/>
          <w:numId w:val="4"/>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pPr>
        <w:pStyle w:val="3"/>
        <w:numPr>
          <w:ilvl w:val="0"/>
          <w:numId w:val="0"/>
        </w:numPr>
      </w:pP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pPr>
        <w:rPr>
          <w:rFonts w:ascii="Arial"/>
          <w:sz w:val="21"/>
        </w:rPr>
      </w:pPr>
    </w:p>
    <w:p>
      <w:pPr>
        <w:spacing w:line="241" w:lineRule="auto"/>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b/>
          <w:bCs/>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pPr>
        <w:pStyle w:val="3"/>
        <w:jc w:val="center"/>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3"/>
        <w:rPr>
          <w:rFonts w:ascii="仿宋" w:hAnsi="仿宋" w:eastAsia="仿宋" w:cs="仿宋"/>
          <w:sz w:val="24"/>
          <w:szCs w:val="24"/>
        </w:rPr>
      </w:pPr>
    </w:p>
    <w:p>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DFE6BA"/>
    <w:multiLevelType w:val="singleLevel"/>
    <w:tmpl w:val="F1DFE6BA"/>
    <w:lvl w:ilvl="0" w:tentative="0">
      <w:start w:val="3"/>
      <w:numFmt w:val="decimal"/>
      <w:suff w:val="nothing"/>
      <w:lvlText w:val="%1、"/>
      <w:lvlJc w:val="left"/>
    </w:lvl>
  </w:abstractNum>
  <w:abstractNum w:abstractNumId="1">
    <w:nsid w:val="1C86D58F"/>
    <w:multiLevelType w:val="singleLevel"/>
    <w:tmpl w:val="1C86D58F"/>
    <w:lvl w:ilvl="0" w:tentative="0">
      <w:start w:val="4"/>
      <w:numFmt w:val="chineseCounting"/>
      <w:suff w:val="nothing"/>
      <w:lvlText w:val="%1、"/>
      <w:lvlJc w:val="left"/>
      <w:rPr>
        <w:rFonts w:hint="eastAsia"/>
      </w:rPr>
    </w:lvl>
  </w:abstractNum>
  <w:abstractNum w:abstractNumId="2">
    <w:nsid w:val="6184672F"/>
    <w:multiLevelType w:val="singleLevel"/>
    <w:tmpl w:val="6184672F"/>
    <w:lvl w:ilvl="0" w:tentative="0">
      <w:start w:val="4"/>
      <w:numFmt w:val="chineseCounting"/>
      <w:suff w:val="nothing"/>
      <w:lvlText w:val="%1、"/>
      <w:lvlJc w:val="left"/>
      <w:rPr>
        <w:rFonts w:hint="eastAsia"/>
      </w:rPr>
    </w:lvl>
  </w:abstractNum>
  <w:abstractNum w:abstractNumId="3">
    <w:nsid w:val="6A87ED74"/>
    <w:multiLevelType w:val="singleLevel"/>
    <w:tmpl w:val="6A87ED74"/>
    <w:lvl w:ilvl="0" w:tentative="0">
      <w:start w:val="2"/>
      <w:numFmt w:val="chineseCounting"/>
      <w:suff w:val="space"/>
      <w:lvlText w:val="第%1章"/>
      <w:lvlJc w:val="left"/>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24258C3"/>
    <w:rsid w:val="078925D1"/>
    <w:rsid w:val="0DE27F62"/>
    <w:rsid w:val="10397C31"/>
    <w:rsid w:val="118B6606"/>
    <w:rsid w:val="12C84698"/>
    <w:rsid w:val="13B41298"/>
    <w:rsid w:val="146B4B15"/>
    <w:rsid w:val="18592A91"/>
    <w:rsid w:val="1A095C94"/>
    <w:rsid w:val="1DBB4AB2"/>
    <w:rsid w:val="22887589"/>
    <w:rsid w:val="2347772C"/>
    <w:rsid w:val="24822870"/>
    <w:rsid w:val="29CD5873"/>
    <w:rsid w:val="3E35385B"/>
    <w:rsid w:val="3F902606"/>
    <w:rsid w:val="40081B38"/>
    <w:rsid w:val="4445400D"/>
    <w:rsid w:val="49586BD3"/>
    <w:rsid w:val="54B86364"/>
    <w:rsid w:val="56B65133"/>
    <w:rsid w:val="59270DD1"/>
    <w:rsid w:val="59A815AC"/>
    <w:rsid w:val="60561B0D"/>
    <w:rsid w:val="631725C7"/>
    <w:rsid w:val="689F0A40"/>
    <w:rsid w:val="6D2A04ED"/>
    <w:rsid w:val="6F59695A"/>
    <w:rsid w:val="707B5D4B"/>
    <w:rsid w:val="72E578B2"/>
    <w:rsid w:val="74CC105E"/>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1663</Words>
  <Characters>1806</Characters>
  <TotalTime>4</TotalTime>
  <ScaleCrop>false</ScaleCrop>
  <LinksUpToDate>false</LinksUpToDate>
  <CharactersWithSpaces>2809</CharactersWithSpaces>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2024-05-14T01:22:26Z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2052-12.1.0.16729</vt:lpwstr>
  </property>
  <property fmtid="{D5CDD505-2E9C-101B-9397-08002B2CF9AE}" pid="5" name="ICV">
    <vt:lpwstr>84D2111B49C245049189463BF748E38D_12</vt:lpwstr>
  </property>
</Properties>
</file>