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before="156" w:line="366" w:lineRule="auto"/>
        <w:ind w:left="1966" w:right="713" w:hanging="1221"/>
        <w:jc w:val="center"/>
        <w:rPr>
          <w:rFonts w:hint="eastAsia" w:ascii="仿宋" w:hAnsi="仿宋" w:eastAsia="仿宋" w:cs="仿宋"/>
          <w:sz w:val="48"/>
          <w:szCs w:val="48"/>
          <w:lang w:eastAsia="zh-CN"/>
          <w14:textOutline w14:w="6096" w14:cap="flat" w14:cmpd="sng">
            <w14:solidFill>
              <w14:srgbClr w14:val="000000"/>
            </w14:solidFill>
            <w14:prstDash w14:val="solid"/>
            <w14:miter w14:val="0"/>
          </w14:textOutline>
        </w:rPr>
      </w:pPr>
      <w: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t>甘肃圣康源生物科技有限公司</w:t>
      </w:r>
    </w:p>
    <w:p>
      <w:pPr>
        <w:spacing w:before="156" w:line="366" w:lineRule="auto"/>
        <w:ind w:left="1966" w:right="713" w:hanging="1221"/>
        <w:jc w:val="center"/>
        <w:rPr>
          <w:rFonts w:ascii="仿宋" w:hAnsi="仿宋" w:eastAsia="仿宋" w:cs="仿宋"/>
          <w:sz w:val="48"/>
          <w:szCs w:val="48"/>
        </w:rPr>
      </w:pPr>
      <w:r>
        <w:rPr>
          <w:rFonts w:hint="eastAsia" w:eastAsia="仿宋" w:cs="Arial"/>
          <w:sz w:val="48"/>
          <w:szCs w:val="48"/>
          <w:lang w:val="en-US" w:eastAsia="zh-CN"/>
          <w14:textOutline w14:w="6096" w14:cap="flat" w14:cmpd="sng">
            <w14:solidFill>
              <w14:srgbClr w14:val="000000"/>
            </w14:solidFill>
            <w14:prstDash w14:val="solid"/>
            <w14:miter w14:val="0"/>
          </w14:textOutline>
        </w:rPr>
        <w:t>300吨DDGS</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SKY-CG-DDGS-20240521</w:t>
      </w:r>
    </w:p>
    <w:p>
      <w:pPr>
        <w:spacing w:before="234" w:line="368" w:lineRule="auto"/>
        <w:ind w:left="1373" w:right="1070" w:hanging="38"/>
        <w:rPr>
          <w:rFonts w:ascii="仿宋" w:hAnsi="仿宋" w:eastAsia="仿宋" w:cs="仿宋"/>
          <w:sz w:val="32"/>
          <w:szCs w:val="32"/>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w:t>
      </w:r>
      <w:r>
        <w:rPr>
          <w:rFonts w:hint="eastAsia" w:ascii="仿宋" w:hAnsi="仿宋" w:eastAsia="仿宋" w:cs="仿宋"/>
          <w:sz w:val="32"/>
          <w:szCs w:val="32"/>
          <w:lang w:eastAsia="zh-CN"/>
          <w14:textOutline w14:w="4064" w14:cap="flat" w14:cmpd="sng">
            <w14:solidFill>
              <w14:srgbClr w14:val="000000"/>
            </w14:solidFill>
            <w14:prstDash w14:val="solid"/>
            <w14:miter w14:val="0"/>
          </w14:textOutline>
        </w:rPr>
        <w:t>甘肃圣康源生物科技有限公司</w:t>
      </w:r>
      <w:r>
        <w:rPr>
          <w:rFonts w:ascii="仿宋" w:hAnsi="仿宋" w:eastAsia="仿宋" w:cs="仿宋"/>
          <w:sz w:val="32"/>
          <w:szCs w:val="32"/>
        </w:rPr>
        <w:t xml:space="preserve"> </w:t>
      </w:r>
    </w:p>
    <w:p>
      <w:pPr>
        <w:spacing w:before="243" w:line="223" w:lineRule="auto"/>
        <w:ind w:left="3471"/>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pPr>
        <w:sectPr>
          <w:headerReference r:id="rId5" w:type="default"/>
          <w:pgSz w:w="11905" w:h="16840"/>
          <w:pgMar w:top="1183" w:right="1610" w:bottom="0" w:left="1616" w:header="882" w:footer="0" w:gutter="0"/>
          <w:cols w:space="720" w:num="1"/>
        </w:sectPr>
      </w:pPr>
    </w:p>
    <w:p>
      <w:pPr>
        <w:spacing w:line="269" w:lineRule="auto"/>
        <w:rPr>
          <w:rFonts w:ascii="Arial"/>
          <w:sz w:val="21"/>
        </w:rPr>
      </w:pPr>
    </w:p>
    <w:p>
      <w:pPr>
        <w:spacing w:line="270" w:lineRule="auto"/>
        <w:rPr>
          <w:rFonts w:ascii="Arial"/>
          <w:sz w:val="21"/>
        </w:rPr>
      </w:pPr>
    </w:p>
    <w:p>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p/>
    <w:p/>
    <w:p/>
    <w:p/>
    <w:p/>
    <w:p/>
    <w:p/>
    <w:p>
      <w:pPr>
        <w:spacing w:line="19" w:lineRule="exact"/>
      </w:pPr>
    </w:p>
    <w:p>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pPr>
        <w:spacing w:before="268" w:line="222" w:lineRule="auto"/>
        <w:rPr>
          <w:rFonts w:ascii="仿宋" w:hAnsi="仿宋" w:eastAsia="仿宋" w:cs="仿宋"/>
          <w:sz w:val="36"/>
          <w:szCs w:val="36"/>
        </w:rPr>
      </w:pPr>
    </w:p>
    <w:p>
      <w:pPr>
        <w:spacing w:line="14" w:lineRule="auto"/>
        <w:rPr>
          <w:rFonts w:ascii="Arial"/>
          <w:sz w:val="2"/>
        </w:rPr>
      </w:pPr>
      <w:r>
        <w:rPr>
          <w:rFonts w:ascii="Arial" w:hAnsi="Arial" w:eastAsia="Arial" w:cs="Arial"/>
          <w:sz w:val="2"/>
          <w:szCs w:val="2"/>
        </w:rPr>
        <w:br w:type="column"/>
      </w:r>
    </w:p>
    <w:p>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6"/>
        <w:tblW w:w="96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0"/>
        <w:gridCol w:w="2068"/>
        <w:gridCol w:w="63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068"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6377"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068"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6377"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招标单位：</w:t>
            </w:r>
            <w:r>
              <w:rPr>
                <w:rFonts w:hint="eastAsia" w:ascii="仿宋" w:hAnsi="仿宋" w:eastAsia="仿宋" w:cs="仿宋"/>
                <w:sz w:val="24"/>
                <w:szCs w:val="24"/>
                <w:vertAlign w:val="baseline"/>
                <w:lang w:eastAsia="zh-CN"/>
              </w:rPr>
              <w:t>甘肃圣康源生物科技有限公司</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地址：张掖市</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联 系 人：</w:t>
            </w:r>
            <w:r>
              <w:rPr>
                <w:rFonts w:hint="eastAsia" w:ascii="仿宋" w:hAnsi="仿宋" w:eastAsia="仿宋" w:cs="仿宋"/>
                <w:sz w:val="24"/>
                <w:szCs w:val="24"/>
                <w:vertAlign w:val="baseline"/>
                <w:lang w:val="en-US" w:eastAsia="zh-CN"/>
              </w:rPr>
              <w:t xml:space="preserve">彭飞 </w:t>
            </w:r>
            <w:r>
              <w:rPr>
                <w:rFonts w:ascii="仿宋" w:hAnsi="仿宋" w:eastAsia="仿宋" w:cs="仿宋"/>
                <w:sz w:val="24"/>
                <w:szCs w:val="24"/>
                <w:vertAlign w:val="baseline"/>
              </w:rPr>
              <w:t>联系电话：</w:t>
            </w:r>
            <w:r>
              <w:rPr>
                <w:rFonts w:hint="eastAsia" w:ascii="仿宋" w:hAnsi="仿宋" w:eastAsia="仿宋" w:cs="仿宋"/>
                <w:sz w:val="24"/>
                <w:szCs w:val="24"/>
                <w:vertAlign w:val="baseline"/>
                <w:lang w:val="en-US" w:eastAsia="zh-CN"/>
              </w:rPr>
              <w:t>13139364525 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068"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6377" w:type="dxa"/>
            <w:vAlign w:val="center"/>
          </w:tcPr>
          <w:p>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甘肃圣康源生物科技有限公司</w:t>
            </w:r>
            <w:r>
              <w:rPr>
                <w:rFonts w:hint="eastAsia" w:ascii="仿宋" w:hAnsi="仿宋" w:eastAsia="仿宋" w:cs="仿宋"/>
                <w:spacing w:val="-2"/>
                <w:position w:val="17"/>
                <w:sz w:val="24"/>
                <w:szCs w:val="24"/>
                <w:lang w:val="en-US" w:eastAsia="zh-CN"/>
              </w:rPr>
              <w:t>300吨DDGS</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068"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6377"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pacing w:val="-5"/>
                <w:sz w:val="24"/>
                <w:szCs w:val="24"/>
                <w:lang w:eastAsia="zh-CN"/>
              </w:rPr>
              <w:t>（</w:t>
            </w:r>
            <w:r>
              <w:rPr>
                <w:rFonts w:hint="eastAsia" w:ascii="仿宋" w:hAnsi="仿宋" w:eastAsia="仿宋" w:cs="仿宋"/>
                <w:sz w:val="24"/>
                <w:szCs w:val="24"/>
                <w:vertAlign w:val="baseline"/>
                <w:lang w:val="en-US" w:eastAsia="zh-CN"/>
              </w:rPr>
              <w:t>甘州区石岗墩开发区</w:t>
            </w:r>
            <w:r>
              <w:rPr>
                <w:rFonts w:hint="eastAsia" w:ascii="仿宋" w:hAnsi="仿宋" w:eastAsia="仿宋" w:cs="仿宋"/>
                <w:spacing w:val="-5"/>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068"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6377" w:type="dxa"/>
            <w:vAlign w:val="center"/>
          </w:tcPr>
          <w:p>
            <w:pPr>
              <w:widowControl w:val="0"/>
              <w:spacing w:before="305" w:line="212" w:lineRule="auto"/>
              <w:jc w:val="center"/>
              <w:rPr>
                <w:rFonts w:ascii="仿宋" w:hAnsi="仿宋" w:eastAsia="仿宋" w:cs="仿宋"/>
                <w:sz w:val="24"/>
                <w:szCs w:val="24"/>
                <w:vertAlign w:val="baseline"/>
              </w:rPr>
            </w:pPr>
            <w:bookmarkStart w:id="0" w:name="_GoBack"/>
            <w:bookmarkEnd w:id="0"/>
            <w:r>
              <w:rPr>
                <w:rFonts w:hint="eastAsia" w:ascii="仿宋" w:hAnsi="仿宋" w:eastAsia="仿宋" w:cs="仿宋"/>
                <w:spacing w:val="-11"/>
                <w:sz w:val="24"/>
                <w:szCs w:val="24"/>
                <w:lang w:val="en-US" w:eastAsia="zh-CN"/>
              </w:rPr>
              <w:t>根据圣康源月计划进行供货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068"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6377"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，甘肃圣康源生物科技有限公司</w:t>
            </w:r>
            <w:r>
              <w:rPr>
                <w:rFonts w:hint="eastAsia" w:ascii="仿宋" w:hAnsi="仿宋" w:eastAsia="仿宋" w:cs="仿宋"/>
                <w:sz w:val="24"/>
                <w:szCs w:val="24"/>
                <w:vertAlign w:val="baseline"/>
                <w:lang w:val="en-US" w:eastAsia="zh-CN"/>
              </w:rPr>
              <w:t>300吨DDGS</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068"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6377" w:type="dxa"/>
            <w:vAlign w:val="top"/>
          </w:tcPr>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1、投标人必须是在中华人民共和国境内注册，能独立承担民事责任的法人；具有市场监督管理部门核发的有效的载有统一社会信用代码的营业执照，且营业执照中有招标人采购需求的经营范围。如投标人为代理商，投标需提供制造商出具的授权书。</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2、财务状况良好，有良好的银行资信和商业信誉，没有处于被责令停业或破产状态，且资产未被重组、接管或冻结。</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rPr>
              <w:t>3、投标人未被列入</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信用中国</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网站 </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记录失信被执行人或重大税收违法案件当事人名单或政府采购严重违</w:t>
            </w:r>
            <w:r>
              <w:rPr>
                <w:rFonts w:hint="eastAsia" w:ascii="仿宋" w:hAnsi="仿宋" w:eastAsia="仿宋" w:cs="仿宋"/>
                <w:sz w:val="24"/>
                <w:szCs w:val="24"/>
                <w:vertAlign w:val="baseline"/>
                <w:lang w:val="en-US" w:eastAsia="zh-CN"/>
              </w:rPr>
              <w:t>法</w:t>
            </w:r>
            <w:r>
              <w:rPr>
                <w:rFonts w:hint="eastAsia" w:ascii="仿宋" w:hAnsi="仿宋" w:eastAsia="仿宋" w:cs="仿宋"/>
                <w:sz w:val="24"/>
                <w:szCs w:val="24"/>
                <w:vertAlign w:val="baseline"/>
              </w:rPr>
              <w:t>失信行为记录名单</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lang w:val="en-US" w:eastAsia="zh-CN"/>
              </w:rPr>
              <w:t>以</w:t>
            </w:r>
            <w:r>
              <w:rPr>
                <w:rFonts w:hint="eastAsia" w:ascii="仿宋" w:hAnsi="仿宋" w:eastAsia="仿宋" w:cs="仿宋"/>
                <w:sz w:val="24"/>
                <w:szCs w:val="24"/>
                <w:vertAlign w:val="baseline"/>
              </w:rPr>
              <w:t>在“信用中国”网站www.creditchina.gov.cn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 查询结果为准， 如相关失信记录已失效， 投标人需提供相关证明资料</w:t>
            </w:r>
            <w:r>
              <w:rPr>
                <w:rFonts w:hint="eastAsia" w:ascii="仿宋" w:hAnsi="仿宋" w:eastAsia="仿宋" w:cs="仿宋"/>
                <w:sz w:val="24"/>
                <w:szCs w:val="24"/>
                <w:vertAlign w:val="baseline"/>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4、《营业执照》经营范围符合本次招标内容。</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5、投标单位负责人为同一人、存在控股或者管理关系的不同单位，不得同时参加本次招标。</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6</w:t>
            </w:r>
            <w:r>
              <w:rPr>
                <w:rFonts w:hint="eastAsia" w:ascii="仿宋" w:hAnsi="仿宋" w:eastAsia="仿宋" w:cs="仿宋"/>
                <w:sz w:val="24"/>
                <w:szCs w:val="24"/>
                <w:vertAlign w:val="baseline"/>
              </w:rPr>
              <w:t>、本次招标不接受联合体投标。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068"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6377"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11"/>
                <w:sz w:val="24"/>
                <w:szCs w:val="24"/>
              </w:rPr>
              <w:t>截止时间：</w:t>
            </w:r>
            <w:r>
              <w:rPr>
                <w:rFonts w:ascii="仿宋" w:hAnsi="仿宋" w:eastAsia="仿宋" w:cs="仿宋"/>
                <w:spacing w:val="-11"/>
                <w:sz w:val="24"/>
                <w:szCs w:val="24"/>
                <w:u w:val="single"/>
              </w:rPr>
              <w:t>202</w:t>
            </w:r>
            <w:r>
              <w:rPr>
                <w:rFonts w:hint="eastAsia" w:ascii="仿宋" w:hAnsi="仿宋" w:eastAsia="仿宋" w:cs="仿宋"/>
                <w:spacing w:val="-11"/>
                <w:sz w:val="24"/>
                <w:szCs w:val="24"/>
                <w:u w:val="single"/>
                <w:lang w:val="en-US" w:eastAsia="zh-CN"/>
              </w:rPr>
              <w:t>4</w:t>
            </w:r>
            <w:r>
              <w:rPr>
                <w:rFonts w:ascii="仿宋" w:hAnsi="仿宋" w:eastAsia="仿宋" w:cs="仿宋"/>
                <w:spacing w:val="-11"/>
                <w:sz w:val="24"/>
                <w:szCs w:val="24"/>
              </w:rPr>
              <w:t>年</w:t>
            </w:r>
            <w:r>
              <w:rPr>
                <w:rFonts w:hint="eastAsia" w:ascii="仿宋" w:hAnsi="仿宋" w:eastAsia="仿宋" w:cs="仿宋"/>
                <w:spacing w:val="-11"/>
                <w:sz w:val="24"/>
                <w:szCs w:val="24"/>
                <w:u w:val="single"/>
                <w:lang w:val="en-US" w:eastAsia="zh-CN"/>
              </w:rPr>
              <w:t>05</w:t>
            </w:r>
            <w:r>
              <w:rPr>
                <w:rFonts w:ascii="仿宋" w:hAnsi="仿宋" w:eastAsia="仿宋" w:cs="仿宋"/>
                <w:spacing w:val="-11"/>
                <w:sz w:val="24"/>
                <w:szCs w:val="24"/>
              </w:rPr>
              <w:t>月</w:t>
            </w:r>
            <w:r>
              <w:rPr>
                <w:rFonts w:ascii="仿宋" w:hAnsi="仿宋" w:eastAsia="仿宋" w:cs="仿宋"/>
                <w:spacing w:val="-60"/>
                <w:sz w:val="24"/>
                <w:szCs w:val="24"/>
              </w:rPr>
              <w:t xml:space="preserve"> </w:t>
            </w:r>
            <w:r>
              <w:rPr>
                <w:rFonts w:hint="eastAsia" w:ascii="仿宋" w:hAnsi="仿宋" w:eastAsia="仿宋" w:cs="仿宋"/>
                <w:spacing w:val="-11"/>
                <w:sz w:val="24"/>
                <w:szCs w:val="24"/>
                <w:u w:val="single" w:color="auto"/>
                <w:lang w:val="en-US" w:eastAsia="zh-CN"/>
              </w:rPr>
              <w:t>21</w:t>
            </w:r>
            <w:r>
              <w:rPr>
                <w:rFonts w:ascii="仿宋" w:hAnsi="仿宋" w:eastAsia="仿宋" w:cs="仿宋"/>
                <w:spacing w:val="-11"/>
                <w:sz w:val="24"/>
                <w:szCs w:val="24"/>
              </w:rPr>
              <w:t>日</w:t>
            </w:r>
            <w:r>
              <w:rPr>
                <w:rFonts w:ascii="仿宋" w:hAnsi="仿宋" w:eastAsia="仿宋" w:cs="仿宋"/>
                <w:spacing w:val="-60"/>
                <w:sz w:val="24"/>
                <w:szCs w:val="24"/>
              </w:rPr>
              <w:t xml:space="preserve"> </w:t>
            </w:r>
            <w:r>
              <w:rPr>
                <w:rFonts w:ascii="仿宋" w:hAnsi="仿宋" w:eastAsia="仿宋" w:cs="仿宋"/>
                <w:spacing w:val="-94"/>
                <w:sz w:val="24"/>
                <w:szCs w:val="24"/>
                <w:u w:val="single" w:color="auto"/>
              </w:rPr>
              <w:t xml:space="preserve"> </w:t>
            </w:r>
            <w:r>
              <w:rPr>
                <w:rFonts w:hint="eastAsia" w:ascii="仿宋" w:hAnsi="仿宋" w:eastAsia="仿宋" w:cs="仿宋"/>
                <w:spacing w:val="-11"/>
                <w:sz w:val="24"/>
                <w:szCs w:val="24"/>
                <w:u w:val="single" w:color="auto"/>
                <w:lang w:val="en-US" w:eastAsia="zh-CN"/>
              </w:rPr>
              <w:t>14</w:t>
            </w:r>
            <w:r>
              <w:rPr>
                <w:rFonts w:ascii="仿宋" w:hAnsi="仿宋" w:eastAsia="仿宋" w:cs="仿宋"/>
                <w:spacing w:val="-87"/>
                <w:sz w:val="24"/>
                <w:szCs w:val="24"/>
              </w:rPr>
              <w:t xml:space="preserve"> </w:t>
            </w:r>
            <w:r>
              <w:rPr>
                <w:rFonts w:ascii="仿宋" w:hAnsi="仿宋" w:eastAsia="仿宋" w:cs="仿宋"/>
                <w:spacing w:val="-11"/>
                <w:sz w:val="24"/>
                <w:szCs w:val="24"/>
              </w:rPr>
              <w:t>时</w:t>
            </w:r>
            <w:r>
              <w:rPr>
                <w:rFonts w:hint="eastAsia" w:ascii="仿宋" w:hAnsi="仿宋" w:eastAsia="仿宋" w:cs="仿宋"/>
                <w:spacing w:val="-11"/>
                <w:sz w:val="24"/>
                <w:szCs w:val="24"/>
                <w:u w:val="single"/>
                <w:lang w:val="en-US" w:eastAsia="zh-CN"/>
              </w:rPr>
              <w:t>30分</w:t>
            </w:r>
            <w:r>
              <w:rPr>
                <w:rFonts w:ascii="仿宋" w:hAnsi="仿宋" w:eastAsia="仿宋" w:cs="仿宋"/>
                <w:spacing w:val="-11"/>
                <w:sz w:val="24"/>
                <w:szCs w:val="24"/>
              </w:rPr>
              <w:t>之前</w:t>
            </w:r>
            <w:r>
              <w:rPr>
                <w:rFonts w:hint="eastAsia" w:ascii="仿宋" w:hAnsi="仿宋" w:eastAsia="仿宋" w:cs="仿宋"/>
                <w:spacing w:val="-11"/>
                <w:sz w:val="24"/>
                <w:szCs w:val="24"/>
                <w:lang w:val="en-US" w:eastAsia="zh-CN"/>
              </w:rPr>
              <w:t>将投标文件</w:t>
            </w:r>
            <w:r>
              <w:rPr>
                <w:rFonts w:hint="eastAsia" w:ascii="仿宋" w:hAnsi="仿宋" w:eastAsia="仿宋" w:cs="仿宋"/>
                <w:color w:val="FF0000"/>
                <w:spacing w:val="-11"/>
                <w:sz w:val="24"/>
                <w:szCs w:val="24"/>
                <w:lang w:val="en-US" w:eastAsia="zh-CN"/>
              </w:rPr>
              <w:t>加盖公章加密</w:t>
            </w:r>
            <w:r>
              <w:rPr>
                <w:rFonts w:hint="eastAsia" w:ascii="仿宋" w:hAnsi="仿宋" w:eastAsia="仿宋" w:cs="仿宋"/>
                <w:spacing w:val="-11"/>
                <w:sz w:val="24"/>
                <w:szCs w:val="24"/>
                <w:lang w:val="en-US" w:eastAsia="zh-CN"/>
              </w:rPr>
              <w:t>后发送至邮箱</w:t>
            </w:r>
            <w:r>
              <w:rPr>
                <w:rFonts w:hint="eastAsia" w:ascii="仿宋" w:hAnsi="仿宋" w:eastAsia="仿宋" w:cs="仿宋"/>
                <w:spacing w:val="-11"/>
                <w:sz w:val="28"/>
                <w:szCs w:val="28"/>
                <w:lang w:val="en-US" w:eastAsia="zh-CN"/>
              </w:rPr>
              <w:t xml:space="preserve">gansu_qjmy_ts@163.com；             </w:t>
            </w:r>
            <w:r>
              <w:rPr>
                <w:rFonts w:hint="eastAsia" w:ascii="仿宋" w:hAnsi="仿宋" w:eastAsia="仿宋" w:cs="仿宋"/>
                <w:spacing w:val="-11"/>
                <w:sz w:val="24"/>
                <w:szCs w:val="24"/>
                <w:lang w:val="en-US" w:eastAsia="zh-CN"/>
              </w:rPr>
              <w:t>投标文件命名方式：投标单位名称+项目名称+时间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068"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6377"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068"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6377"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账期为90天，账期届满后30天内付款。</w:t>
            </w:r>
          </w:p>
        </w:tc>
      </w:tr>
    </w:tbl>
    <w:p>
      <w:pPr>
        <w:spacing w:line="235" w:lineRule="exact"/>
      </w:pPr>
    </w:p>
    <w:p>
      <w:pPr>
        <w:rPr>
          <w:rFonts w:ascii="Arial"/>
          <w:sz w:val="21"/>
        </w:rPr>
      </w:pPr>
    </w:p>
    <w:p>
      <w:pPr>
        <w:sectPr>
          <w:headerReference r:id="rId9" w:type="default"/>
          <w:footerReference r:id="rId10" w:type="default"/>
          <w:pgSz w:w="11905" w:h="16840"/>
          <w:pgMar w:top="1183" w:right="1667" w:bottom="1041" w:left="1671" w:header="882" w:footer="853" w:gutter="0"/>
          <w:pgNumType w:fmt="numberInDash"/>
          <w:cols w:space="720" w:num="1"/>
        </w:sectPr>
      </w:pP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05" w:line="360" w:lineRule="auto"/>
        <w:ind w:firstLine="3304" w:firstLineChars="700"/>
        <w:textAlignment w:val="baseline"/>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pPr>
      <w:r>
        <w:rPr>
          <w:rFonts w:hint="eastAsia" w:ascii="宋体" w:hAnsi="宋体" w:eastAsia="宋体" w:cs="宋体"/>
          <w:b w:val="0"/>
          <w:bCs w:val="0"/>
          <w:spacing w:val="-4"/>
          <w:sz w:val="48"/>
          <w:szCs w:val="48"/>
        </w:rPr>
        <w:t xml:space="preserve"> </w:t>
      </w:r>
      <w:r>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t>质量标准</w:t>
      </w:r>
    </w:p>
    <w:p>
      <w:pPr>
        <w:pStyle w:val="3"/>
        <w:rPr>
          <w:rFonts w:hint="default"/>
          <w:b/>
          <w:bCs/>
          <w:sz w:val="32"/>
          <w:szCs w:val="32"/>
          <w:lang w:val="en-US" w:eastAsia="zh-CN"/>
        </w:rPr>
      </w:pPr>
      <w:r>
        <w:rPr>
          <w:rFonts w:hint="eastAsia"/>
          <w:b/>
          <w:bCs/>
          <w:sz w:val="32"/>
          <w:szCs w:val="32"/>
          <w:lang w:val="en-US" w:eastAsia="zh-CN"/>
        </w:rPr>
        <w:t>DDGS</w:t>
      </w:r>
    </w:p>
    <w:p>
      <w:pPr>
        <w:pStyle w:val="3"/>
        <w:keepNext w:val="0"/>
        <w:keepLines w:val="0"/>
        <w:pageBreakBefore w:val="0"/>
        <w:widowControl/>
        <w:numPr>
          <w:ilvl w:val="0"/>
          <w:numId w:val="2"/>
        </w:numPr>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感官指标：</w:t>
      </w:r>
    </w:p>
    <w:p>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256" w:firstLineChars="100"/>
        <w:textAlignment w:val="baseline"/>
        <w:rPr>
          <w:rFonts w:hint="eastAsia" w:cs="宋体"/>
          <w:b w:val="0"/>
          <w:bCs w:val="0"/>
          <w:spacing w:val="8"/>
          <w:sz w:val="24"/>
          <w:szCs w:val="24"/>
          <w:lang w:val="en-US" w:eastAsia="zh-CN"/>
        </w:rPr>
      </w:pPr>
      <w:r>
        <w:rPr>
          <w:rFonts w:hint="eastAsia" w:cs="宋体"/>
          <w:b w:val="0"/>
          <w:bCs w:val="0"/>
          <w:spacing w:val="8"/>
          <w:sz w:val="24"/>
          <w:szCs w:val="24"/>
          <w:lang w:val="en-US" w:eastAsia="zh-CN"/>
        </w:rPr>
        <w:t>颜色：黄色至浅褐色，色泽均匀、一致。气味：有酒精气味，有发酵酸味，口尝时，酸度可以忍受，无异味、异臭、霉变。质地：粉状。无发热、结块、不得掺杂如塑料、绳头、金属杂质等、不得掺假、不得添加国家禁止添加的任何物质。</w:t>
      </w:r>
    </w:p>
    <w:p>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textAlignment w:val="baseline"/>
        <w:rPr>
          <w:rFonts w:hint="default" w:ascii="宋体" w:hAnsi="宋体" w:eastAsia="宋体" w:cs="宋体"/>
          <w:spacing w:val="8"/>
          <w:sz w:val="24"/>
          <w:szCs w:val="24"/>
          <w:lang w:val="en-US" w:eastAsia="zh-CN"/>
        </w:rPr>
      </w:pPr>
      <w:r>
        <w:rPr>
          <w:rFonts w:hint="eastAsia" w:cs="宋体"/>
          <w:b/>
          <w:bCs/>
          <w:spacing w:val="8"/>
          <w:sz w:val="24"/>
          <w:szCs w:val="24"/>
          <w:lang w:val="en-US" w:eastAsia="zh-CN"/>
        </w:rPr>
        <w:t>2、技术指标</w:t>
      </w:r>
      <w:r>
        <w:rPr>
          <w:rFonts w:hint="eastAsia" w:cs="宋体"/>
          <w:spacing w:val="8"/>
          <w:sz w:val="24"/>
          <w:szCs w:val="24"/>
          <w:lang w:val="en-US" w:eastAsia="zh-CN"/>
        </w:rPr>
        <w:t>：</w:t>
      </w:r>
    </w:p>
    <w:p>
      <w:pPr>
        <w:spacing w:before="185" w:line="285" w:lineRule="auto"/>
        <w:ind w:right="81" w:firstLine="254" w:firstLineChars="100"/>
        <w:rPr>
          <w:rFonts w:hint="eastAsia" w:ascii="宋体" w:hAnsi="宋体" w:eastAsia="宋体" w:cs="宋体"/>
          <w:spacing w:val="7"/>
          <w:sz w:val="24"/>
          <w:szCs w:val="24"/>
          <w:lang w:eastAsia="zh-CN"/>
        </w:rPr>
      </w:pPr>
      <w:r>
        <w:rPr>
          <w:rFonts w:hint="eastAsia" w:ascii="宋体" w:hAnsi="宋体" w:eastAsia="宋体" w:cs="宋体"/>
          <w:spacing w:val="7"/>
          <w:sz w:val="24"/>
          <w:szCs w:val="24"/>
          <w:lang w:eastAsia="zh-CN"/>
        </w:rPr>
        <w:t>粗蛋白≥2</w:t>
      </w:r>
      <w:r>
        <w:rPr>
          <w:rFonts w:hint="eastAsia" w:ascii="宋体" w:hAnsi="宋体" w:eastAsia="宋体" w:cs="宋体"/>
          <w:spacing w:val="7"/>
          <w:sz w:val="24"/>
          <w:szCs w:val="24"/>
          <w:lang w:val="en-US" w:eastAsia="zh-CN"/>
        </w:rPr>
        <w:t>4</w:t>
      </w:r>
      <w:r>
        <w:rPr>
          <w:rFonts w:hint="eastAsia" w:ascii="宋体" w:hAnsi="宋体" w:eastAsia="宋体" w:cs="宋体"/>
          <w:spacing w:val="7"/>
          <w:sz w:val="24"/>
          <w:szCs w:val="24"/>
          <w:lang w:eastAsia="zh-CN"/>
        </w:rPr>
        <w:t>.0%；水分≤</w:t>
      </w:r>
      <w:r>
        <w:rPr>
          <w:rFonts w:hint="eastAsia" w:ascii="宋体" w:hAnsi="宋体" w:eastAsia="宋体" w:cs="宋体"/>
          <w:spacing w:val="7"/>
          <w:sz w:val="24"/>
          <w:szCs w:val="24"/>
          <w:lang w:val="en-US" w:eastAsia="zh-CN"/>
        </w:rPr>
        <w:t>12</w:t>
      </w:r>
      <w:r>
        <w:rPr>
          <w:rFonts w:hint="eastAsia" w:ascii="宋体" w:hAnsi="宋体" w:eastAsia="宋体" w:cs="宋体"/>
          <w:spacing w:val="7"/>
          <w:sz w:val="24"/>
          <w:szCs w:val="24"/>
          <w:lang w:eastAsia="zh-CN"/>
        </w:rPr>
        <w:t>.</w:t>
      </w:r>
      <w:r>
        <w:rPr>
          <w:rFonts w:hint="eastAsia" w:ascii="宋体" w:hAnsi="宋体" w:eastAsia="宋体" w:cs="宋体"/>
          <w:spacing w:val="7"/>
          <w:sz w:val="24"/>
          <w:szCs w:val="24"/>
          <w:lang w:val="en-US" w:eastAsia="zh-CN"/>
        </w:rPr>
        <w:t>0</w:t>
      </w:r>
      <w:r>
        <w:rPr>
          <w:rFonts w:hint="eastAsia" w:ascii="宋体" w:hAnsi="宋体" w:eastAsia="宋体" w:cs="宋体"/>
          <w:spacing w:val="7"/>
          <w:sz w:val="24"/>
          <w:szCs w:val="24"/>
          <w:lang w:eastAsia="zh-CN"/>
        </w:rPr>
        <w:t>%；粗灰分≤</w:t>
      </w:r>
      <w:r>
        <w:rPr>
          <w:rFonts w:hint="eastAsia" w:ascii="宋体" w:hAnsi="宋体" w:eastAsia="宋体" w:cs="宋体"/>
          <w:spacing w:val="7"/>
          <w:sz w:val="24"/>
          <w:szCs w:val="24"/>
          <w:lang w:val="en-US" w:eastAsia="zh-CN"/>
        </w:rPr>
        <w:t>11</w:t>
      </w:r>
      <w:r>
        <w:rPr>
          <w:rFonts w:hint="eastAsia" w:ascii="宋体" w:hAnsi="宋体" w:eastAsia="宋体" w:cs="宋体"/>
          <w:spacing w:val="7"/>
          <w:sz w:val="24"/>
          <w:szCs w:val="24"/>
          <w:lang w:eastAsia="zh-CN"/>
        </w:rPr>
        <w:t>.0%</w:t>
      </w:r>
      <w:r>
        <w:rPr>
          <w:rFonts w:hint="eastAsia" w:ascii="宋体" w:hAnsi="宋体" w:eastAsia="宋体" w:cs="宋体"/>
          <w:spacing w:val="7"/>
          <w:sz w:val="24"/>
          <w:szCs w:val="24"/>
          <w:lang w:val="en-US" w:eastAsia="zh-CN"/>
        </w:rPr>
        <w:t>,</w:t>
      </w:r>
      <w:r>
        <w:rPr>
          <w:rFonts w:hint="eastAsia" w:ascii="宋体" w:hAnsi="宋体" w:eastAsia="宋体" w:cs="宋体"/>
          <w:spacing w:val="7"/>
          <w:sz w:val="24"/>
          <w:szCs w:val="24"/>
          <w:lang w:eastAsia="zh-CN"/>
        </w:rPr>
        <w:t>粗纤维≤1</w:t>
      </w:r>
      <w:r>
        <w:rPr>
          <w:rFonts w:hint="eastAsia" w:ascii="宋体" w:hAnsi="宋体" w:eastAsia="宋体" w:cs="宋体"/>
          <w:spacing w:val="7"/>
          <w:sz w:val="24"/>
          <w:szCs w:val="24"/>
          <w:lang w:val="en-US" w:eastAsia="zh-CN"/>
        </w:rPr>
        <w:t>6</w:t>
      </w:r>
      <w:r>
        <w:rPr>
          <w:rFonts w:hint="eastAsia" w:ascii="宋体" w:hAnsi="宋体" w:eastAsia="宋体" w:cs="宋体"/>
          <w:spacing w:val="7"/>
          <w:sz w:val="24"/>
          <w:szCs w:val="24"/>
          <w:lang w:eastAsia="zh-CN"/>
        </w:rPr>
        <w:t>.0﹪，粗脂肪≥</w:t>
      </w:r>
      <w:r>
        <w:rPr>
          <w:rFonts w:hint="eastAsia" w:ascii="宋体" w:hAnsi="宋体" w:eastAsia="宋体" w:cs="宋体"/>
          <w:spacing w:val="7"/>
          <w:sz w:val="24"/>
          <w:szCs w:val="24"/>
          <w:lang w:val="en-US" w:eastAsia="zh-CN"/>
        </w:rPr>
        <w:t>2%，</w:t>
      </w:r>
      <w:r>
        <w:rPr>
          <w:rFonts w:hint="eastAsia" w:ascii="宋体" w:hAnsi="宋体" w:eastAsia="宋体" w:cs="宋体"/>
          <w:spacing w:val="7"/>
          <w:sz w:val="24"/>
          <w:szCs w:val="24"/>
          <w:lang w:eastAsia="zh-CN"/>
        </w:rPr>
        <w:t>黄曲霉毒素B1≤</w:t>
      </w:r>
      <w:r>
        <w:rPr>
          <w:rFonts w:hint="eastAsia" w:ascii="宋体" w:hAnsi="宋体" w:eastAsia="宋体" w:cs="宋体"/>
          <w:spacing w:val="7"/>
          <w:sz w:val="24"/>
          <w:szCs w:val="24"/>
          <w:lang w:val="en-US" w:eastAsia="zh-CN"/>
        </w:rPr>
        <w:t>1</w:t>
      </w:r>
      <w:r>
        <w:rPr>
          <w:rFonts w:hint="eastAsia" w:ascii="宋体" w:hAnsi="宋体" w:eastAsia="宋体" w:cs="宋体"/>
          <w:spacing w:val="7"/>
          <w:sz w:val="24"/>
          <w:szCs w:val="24"/>
          <w:lang w:eastAsia="zh-CN"/>
        </w:rPr>
        <w:t>0ug/Kg；赭曲霉毒素A≤100 ug/kg，赤霉烯酮≤500ug/kg；呕吐霉素≤</w:t>
      </w:r>
      <w:r>
        <w:rPr>
          <w:rFonts w:hint="eastAsia" w:ascii="宋体" w:hAnsi="宋体" w:eastAsia="宋体" w:cs="宋体"/>
          <w:spacing w:val="7"/>
          <w:sz w:val="24"/>
          <w:szCs w:val="24"/>
          <w:lang w:val="en-US" w:eastAsia="zh-CN"/>
        </w:rPr>
        <w:t>4500</w:t>
      </w:r>
      <w:r>
        <w:rPr>
          <w:rFonts w:hint="eastAsia" w:ascii="宋体" w:hAnsi="宋体" w:eastAsia="宋体" w:cs="宋体"/>
          <w:spacing w:val="7"/>
          <w:sz w:val="24"/>
          <w:szCs w:val="24"/>
          <w:lang w:eastAsia="zh-CN"/>
        </w:rPr>
        <w:t xml:space="preserve"> ug/kg，T-2毒素≤0.5mg/kg，伏马毒素（B1+B2）≤20mg/kg。</w:t>
      </w:r>
    </w:p>
    <w:p>
      <w:pPr>
        <w:spacing w:before="185" w:line="285" w:lineRule="auto"/>
        <w:ind w:left="14" w:right="81" w:firstLine="254" w:firstLineChars="100"/>
        <w:rPr>
          <w:rFonts w:hint="eastAsia" w:ascii="宋体" w:hAnsi="宋体" w:eastAsia="宋体" w:cs="宋体"/>
          <w:sz w:val="24"/>
          <w:szCs w:val="24"/>
        </w:rPr>
      </w:pPr>
      <w:r>
        <w:rPr>
          <w:rFonts w:hint="eastAsia" w:ascii="宋体" w:hAnsi="宋体" w:eastAsia="宋体" w:cs="宋体"/>
          <w:spacing w:val="7"/>
          <w:sz w:val="24"/>
          <w:szCs w:val="24"/>
        </w:rPr>
        <w:t>乙方所供应的货物应满足农业部现行有效的相关法律法规及公告要求，以</w:t>
      </w:r>
      <w:r>
        <w:rPr>
          <w:rFonts w:hint="eastAsia" w:ascii="宋体" w:hAnsi="宋体" w:eastAsia="宋体" w:cs="宋体"/>
          <w:spacing w:val="4"/>
          <w:sz w:val="24"/>
          <w:szCs w:val="24"/>
        </w:rPr>
        <w:t>及</w:t>
      </w:r>
      <w:r>
        <w:rPr>
          <w:rFonts w:hint="eastAsia" w:ascii="宋体" w:hAnsi="宋体" w:eastAsia="宋体" w:cs="宋体"/>
          <w:spacing w:val="9"/>
          <w:sz w:val="24"/>
          <w:szCs w:val="24"/>
        </w:rPr>
        <w:t>未提及到的卫生指标限值应满足国家强制性法规要求</w:t>
      </w:r>
      <w:r>
        <w:rPr>
          <w:rFonts w:hint="eastAsia" w:ascii="宋体" w:hAnsi="宋体" w:eastAsia="宋体" w:cs="宋体"/>
          <w:spacing w:val="6"/>
          <w:sz w:val="24"/>
          <w:szCs w:val="24"/>
        </w:rPr>
        <w:t>。</w:t>
      </w: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注：</w:t>
      </w: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1、每批次货物必须随车携带质检报告单；</w:t>
      </w: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sectPr>
          <w:pgSz w:w="12240" w:h="15840"/>
          <w:pgMar w:top="1340" w:right="1610" w:bottom="1338" w:left="1644" w:header="799" w:footer="723" w:gutter="0"/>
          <w:cols w:space="720" w:num="1"/>
        </w:sectPr>
      </w:pPr>
      <w:r>
        <w:rPr>
          <w:rFonts w:hint="eastAsia" w:ascii="仿宋" w:hAnsi="仿宋" w:eastAsia="仿宋" w:cs="仿宋"/>
          <w:b/>
          <w:bCs/>
          <w:sz w:val="24"/>
          <w:szCs w:val="24"/>
        </w:rPr>
        <w:t>3、运输过程中产生的所有费用，由供货方自行承担。</w:t>
      </w:r>
    </w:p>
    <w:p>
      <w:pPr>
        <w:pStyle w:val="3"/>
        <w:spacing w:before="1"/>
        <w:rPr>
          <w:b/>
          <w:sz w:val="7"/>
        </w:rPr>
      </w:pPr>
    </w:p>
    <w:p>
      <w:pPr>
        <w:pStyle w:val="3"/>
      </w:pPr>
    </w:p>
    <w:p>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pPr>
        <w:sectPr>
          <w:headerReference r:id="rId11" w:type="default"/>
          <w:footerReference r:id="rId12" w:type="default"/>
          <w:pgSz w:w="11905" w:h="16840"/>
          <w:pgMar w:top="400" w:right="1785" w:bottom="615" w:left="1785" w:header="0" w:footer="454" w:gutter="0"/>
          <w:pgNumType w:fmt="numberInDash"/>
          <w:cols w:space="720" w:num="1"/>
        </w:sectPr>
      </w:pPr>
    </w:p>
    <w:p>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pPr>
        <w:spacing w:line="400" w:lineRule="auto"/>
        <w:rPr>
          <w:rFonts w:ascii="Arial"/>
          <w:sz w:val="21"/>
        </w:rPr>
      </w:pPr>
    </w:p>
    <w:p>
      <w:pPr>
        <w:spacing w:before="78" w:line="222" w:lineRule="auto"/>
        <w:ind w:left="282"/>
        <w:rPr>
          <w:rFonts w:ascii="仿宋" w:hAnsi="仿宋" w:eastAsia="仿宋" w:cs="仿宋"/>
          <w:spacing w:val="-6"/>
          <w:sz w:val="24"/>
          <w:szCs w:val="24"/>
        </w:rPr>
      </w:pPr>
    </w:p>
    <w:p>
      <w:pPr>
        <w:spacing w:before="78" w:line="222" w:lineRule="auto"/>
        <w:ind w:left="282"/>
        <w:rPr>
          <w:rFonts w:ascii="仿宋" w:hAnsi="仿宋" w:eastAsia="仿宋" w:cs="仿宋"/>
          <w:spacing w:val="-6"/>
          <w:sz w:val="24"/>
          <w:szCs w:val="24"/>
        </w:rPr>
      </w:pPr>
    </w:p>
    <w:p>
      <w:pPr>
        <w:spacing w:before="78" w:line="222" w:lineRule="auto"/>
        <w:ind w:left="282"/>
        <w:rPr>
          <w:rFonts w:hint="eastAsia" w:ascii="仿宋" w:hAnsi="仿宋" w:eastAsia="仿宋" w:cs="仿宋"/>
          <w:spacing w:val="-6"/>
          <w:sz w:val="28"/>
          <w:szCs w:val="28"/>
        </w:rPr>
      </w:pPr>
    </w:p>
    <w:p>
      <w:pPr>
        <w:spacing w:before="78" w:line="222" w:lineRule="auto"/>
        <w:ind w:left="282"/>
        <w:rPr>
          <w:rFonts w:hint="eastAsia" w:ascii="仿宋" w:hAnsi="仿宋" w:eastAsia="仿宋" w:cs="仿宋"/>
          <w:spacing w:val="-6"/>
          <w:sz w:val="28"/>
          <w:szCs w:val="28"/>
        </w:rPr>
      </w:pP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pPr>
        <w:pStyle w:val="3"/>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投标人资格证明相关文件</w:t>
      </w:r>
    </w:p>
    <w:p>
      <w:pPr>
        <w:pStyle w:val="3"/>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pPr>
        <w:spacing w:line="243" w:lineRule="auto"/>
        <w:rPr>
          <w:rFonts w:hint="eastAsia" w:ascii="仿宋" w:hAnsi="仿宋" w:eastAsia="仿宋" w:cs="仿宋"/>
          <w:sz w:val="22"/>
          <w:szCs w:val="22"/>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pPr>
        <w:pStyle w:val="3"/>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pPr>
        <w:spacing w:line="393" w:lineRule="auto"/>
        <w:rPr>
          <w:rFonts w:ascii="Arial"/>
          <w:sz w:val="21"/>
        </w:rPr>
      </w:pPr>
    </w:p>
    <w:p>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pPr>
        <w:pStyle w:val="3"/>
        <w:rPr>
          <w:rFonts w:ascii="仿宋" w:hAnsi="仿宋" w:eastAsia="仿宋" w:cs="仿宋"/>
          <w:spacing w:val="-4"/>
          <w:sz w:val="24"/>
          <w:szCs w:val="24"/>
        </w:rPr>
      </w:pPr>
    </w:p>
    <w:p>
      <w:pPr>
        <w:pStyle w:val="3"/>
        <w:rPr>
          <w:rFonts w:ascii="仿宋" w:hAnsi="仿宋" w:eastAsia="仿宋" w:cs="仿宋"/>
          <w:spacing w:val="-4"/>
          <w:sz w:val="24"/>
          <w:szCs w:val="24"/>
        </w:rPr>
      </w:pPr>
    </w:p>
    <w:p>
      <w:pPr>
        <w:pStyle w:val="3"/>
        <w:rPr>
          <w:rFonts w:ascii="仿宋" w:hAnsi="仿宋" w:eastAsia="仿宋" w:cs="仿宋"/>
          <w:spacing w:val="-4"/>
          <w:sz w:val="24"/>
          <w:szCs w:val="24"/>
        </w:rPr>
      </w:pPr>
    </w:p>
    <w:p>
      <w:pPr>
        <w:pStyle w:val="3"/>
        <w:rPr>
          <w:rFonts w:ascii="仿宋" w:hAnsi="仿宋" w:eastAsia="仿宋" w:cs="仿宋"/>
          <w:spacing w:val="-4"/>
          <w:sz w:val="24"/>
          <w:szCs w:val="24"/>
        </w:rPr>
      </w:pPr>
    </w:p>
    <w:p>
      <w:pPr>
        <w:pStyle w:val="3"/>
        <w:rPr>
          <w:rFonts w:ascii="仿宋" w:hAnsi="仿宋" w:eastAsia="仿宋" w:cs="仿宋"/>
          <w:spacing w:val="-4"/>
          <w:sz w:val="24"/>
          <w:szCs w:val="24"/>
        </w:rPr>
      </w:pPr>
    </w:p>
    <w:p>
      <w:pPr>
        <w:pStyle w:val="3"/>
        <w:rPr>
          <w:rFonts w:ascii="仿宋" w:hAnsi="仿宋" w:eastAsia="仿宋" w:cs="仿宋"/>
          <w:spacing w:val="-4"/>
          <w:sz w:val="24"/>
          <w:szCs w:val="24"/>
        </w:rPr>
      </w:pPr>
    </w:p>
    <w:p>
      <w:pPr>
        <w:pStyle w:val="3"/>
        <w:rPr>
          <w:rFonts w:ascii="仿宋" w:hAnsi="仿宋" w:eastAsia="仿宋" w:cs="仿宋"/>
          <w:spacing w:val="-4"/>
          <w:sz w:val="24"/>
          <w:szCs w:val="24"/>
        </w:rPr>
      </w:pPr>
    </w:p>
    <w:p>
      <w:pPr>
        <w:pStyle w:val="3"/>
        <w:rPr>
          <w:rFonts w:ascii="仿宋" w:hAnsi="仿宋" w:eastAsia="仿宋" w:cs="仿宋"/>
          <w:spacing w:val="-4"/>
          <w:sz w:val="24"/>
          <w:szCs w:val="24"/>
        </w:rPr>
      </w:pPr>
    </w:p>
    <w:p>
      <w:pPr>
        <w:pStyle w:val="3"/>
        <w:rPr>
          <w:rFonts w:ascii="仿宋" w:hAnsi="仿宋" w:eastAsia="仿宋" w:cs="仿宋"/>
          <w:spacing w:val="-4"/>
          <w:sz w:val="24"/>
          <w:szCs w:val="24"/>
        </w:rPr>
      </w:pPr>
    </w:p>
    <w:p>
      <w:pPr>
        <w:pStyle w:val="3"/>
        <w:rPr>
          <w:rFonts w:hint="eastAsia" w:ascii="仿宋" w:hAnsi="仿宋" w:eastAsia="仿宋" w:cs="仿宋"/>
          <w:spacing w:val="-4"/>
          <w:sz w:val="24"/>
          <w:szCs w:val="24"/>
          <w:lang w:eastAsia="zh-CN"/>
        </w:rPr>
      </w:pPr>
    </w:p>
    <w:p>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pPr>
        <w:sectPr>
          <w:footerReference r:id="rId14" w:type="default"/>
          <w:pgSz w:w="11905" w:h="16840"/>
          <w:pgMar w:top="400" w:right="1693" w:bottom="615" w:left="1716" w:header="0" w:footer="454" w:gutter="0"/>
          <w:pgNumType w:fmt="numberInDash"/>
          <w:cols w:space="720" w:num="1"/>
        </w:sectPr>
      </w:pPr>
    </w:p>
    <w:p>
      <w:pPr>
        <w:spacing w:line="243" w:lineRule="auto"/>
        <w:rPr>
          <w:rFonts w:ascii="Arial"/>
          <w:sz w:val="21"/>
        </w:rPr>
      </w:pPr>
    </w:p>
    <w:p>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pPr>
        <w:spacing w:line="326" w:lineRule="auto"/>
        <w:rPr>
          <w:rFonts w:ascii="Arial"/>
          <w:sz w:val="21"/>
        </w:rPr>
      </w:pPr>
    </w:p>
    <w:p>
      <w:pPr>
        <w:spacing w:line="327" w:lineRule="auto"/>
        <w:rPr>
          <w:rFonts w:ascii="Arial"/>
          <w:sz w:val="21"/>
        </w:rPr>
      </w:pPr>
    </w:p>
    <w:p>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pPr>
        <w:spacing w:line="330" w:lineRule="auto"/>
        <w:rPr>
          <w:rFonts w:ascii="Arial"/>
          <w:sz w:val="21"/>
        </w:rPr>
      </w:pPr>
    </w:p>
    <w:p>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pPr>
        <w:spacing w:line="315" w:lineRule="auto"/>
        <w:rPr>
          <w:rFonts w:ascii="Arial"/>
          <w:sz w:val="21"/>
        </w:rPr>
      </w:pPr>
    </w:p>
    <w:p>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pPr>
        <w:spacing w:line="251" w:lineRule="auto"/>
        <w:rPr>
          <w:rFonts w:ascii="Arial"/>
          <w:sz w:val="21"/>
        </w:rPr>
      </w:pPr>
    </w:p>
    <w:p>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pPr>
        <w:spacing w:line="291" w:lineRule="auto"/>
        <w:rPr>
          <w:rFonts w:ascii="Arial"/>
          <w:sz w:val="21"/>
        </w:rPr>
      </w:pPr>
    </w:p>
    <w:p>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pPr>
        <w:spacing w:line="355" w:lineRule="auto"/>
        <w:rPr>
          <w:rFonts w:ascii="Arial"/>
          <w:sz w:val="21"/>
        </w:rPr>
      </w:pPr>
    </w:p>
    <w:p>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pPr>
        <w:spacing w:line="310" w:lineRule="auto"/>
        <w:rPr>
          <w:rFonts w:ascii="Arial"/>
          <w:sz w:val="21"/>
        </w:rPr>
      </w:pPr>
    </w:p>
    <w:p>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pPr>
        <w:spacing w:line="289" w:lineRule="auto"/>
        <w:rPr>
          <w:rFonts w:ascii="Arial"/>
          <w:sz w:val="21"/>
        </w:rPr>
      </w:pPr>
    </w:p>
    <w:p>
      <w:pPr>
        <w:spacing w:line="289" w:lineRule="auto"/>
        <w:rPr>
          <w:rFonts w:ascii="Arial"/>
          <w:sz w:val="21"/>
        </w:rPr>
      </w:pPr>
    </w:p>
    <w:p>
      <w:pPr>
        <w:spacing w:line="290" w:lineRule="auto"/>
        <w:rPr>
          <w:rFonts w:ascii="Arial"/>
          <w:sz w:val="21"/>
        </w:rPr>
      </w:pPr>
    </w:p>
    <w:p>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pPr>
        <w:sectPr>
          <w:footerReference r:id="rId15" w:type="default"/>
          <w:pgSz w:w="11905" w:h="16840"/>
          <w:pgMar w:top="400" w:right="810" w:bottom="615" w:left="1785" w:header="0" w:footer="454" w:gutter="0"/>
          <w:pgNumType w:fmt="numberInDash"/>
          <w:cols w:space="720" w:num="1"/>
        </w:sectPr>
      </w:pPr>
    </w:p>
    <w:p>
      <w:pPr>
        <w:spacing w:line="244" w:lineRule="auto"/>
        <w:rPr>
          <w:rFonts w:ascii="Arial"/>
          <w:sz w:val="21"/>
        </w:rPr>
      </w:pPr>
    </w:p>
    <w:p>
      <w:pPr>
        <w:rPr>
          <w:sz w:val="22"/>
          <w:szCs w:val="22"/>
        </w:rPr>
      </w:pPr>
    </w:p>
    <w:p>
      <w:pPr>
        <w:spacing w:line="317" w:lineRule="auto"/>
        <w:rPr>
          <w:rFonts w:ascii="Arial"/>
          <w:sz w:val="21"/>
        </w:rPr>
      </w:pPr>
    </w:p>
    <w:p>
      <w:pPr>
        <w:spacing w:line="317" w:lineRule="auto"/>
        <w:rPr>
          <w:rFonts w:ascii="Arial"/>
          <w:sz w:val="21"/>
        </w:rPr>
      </w:pPr>
    </w:p>
    <w:p>
      <w:pPr>
        <w:spacing w:line="318" w:lineRule="auto"/>
        <w:rPr>
          <w:rFonts w:ascii="Arial"/>
          <w:sz w:val="21"/>
        </w:rPr>
      </w:pPr>
    </w:p>
    <w:p>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pPr>
        <w:sectPr>
          <w:headerReference r:id="rId16" w:type="default"/>
          <w:footerReference r:id="rId17" w:type="default"/>
          <w:pgSz w:w="11905" w:h="16840"/>
          <w:pgMar w:top="400" w:right="1728" w:bottom="615" w:left="1716" w:header="0" w:footer="454" w:gutter="0"/>
          <w:pgNumType w:fmt="numberInDash"/>
          <w:cols w:space="720" w:num="1"/>
        </w:sectPr>
      </w:pPr>
    </w:p>
    <w:p>
      <w:pPr>
        <w:spacing w:line="317" w:lineRule="auto"/>
        <w:rPr>
          <w:rFonts w:ascii="Arial"/>
          <w:sz w:val="21"/>
        </w:rPr>
      </w:pPr>
    </w:p>
    <w:p>
      <w:pPr>
        <w:spacing w:line="317" w:lineRule="auto"/>
        <w:rPr>
          <w:rFonts w:ascii="Arial"/>
          <w:sz w:val="21"/>
        </w:rPr>
      </w:pPr>
    </w:p>
    <w:p>
      <w:pPr>
        <w:spacing w:line="318" w:lineRule="auto"/>
        <w:rPr>
          <w:rFonts w:ascii="Arial"/>
          <w:sz w:val="21"/>
        </w:rPr>
      </w:pPr>
    </w:p>
    <w:p>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p/>
    <w:p/>
    <w:p>
      <w:pPr>
        <w:spacing w:line="87" w:lineRule="exact"/>
      </w:pPr>
    </w:p>
    <w:tbl>
      <w:tblPr>
        <w:tblStyle w:val="8"/>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632" w:hRule="atLeast"/>
        </w:trPr>
        <w:tc>
          <w:tcPr>
            <w:tcW w:w="2183" w:type="dxa"/>
            <w:vAlign w:val="top"/>
          </w:tcPr>
          <w:p>
            <w:pPr>
              <w:spacing w:line="321" w:lineRule="auto"/>
              <w:rPr>
                <w:rFonts w:ascii="Arial"/>
                <w:sz w:val="21"/>
              </w:rPr>
            </w:pPr>
          </w:p>
          <w:p>
            <w:pPr>
              <w:spacing w:line="321" w:lineRule="auto"/>
              <w:rPr>
                <w:rFonts w:ascii="Arial"/>
                <w:sz w:val="21"/>
              </w:rPr>
            </w:pPr>
          </w:p>
          <w:p>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pPr>
              <w:spacing w:line="397" w:lineRule="auto"/>
              <w:rPr>
                <w:rFonts w:ascii="Arial"/>
                <w:sz w:val="21"/>
              </w:rPr>
            </w:pPr>
          </w:p>
          <w:p>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pPr>
              <w:spacing w:line="417" w:lineRule="auto"/>
              <w:rPr>
                <w:rFonts w:ascii="Arial"/>
                <w:sz w:val="21"/>
              </w:rPr>
            </w:pPr>
          </w:p>
          <w:p>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p>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pPr>
        <w:spacing w:line="251" w:lineRule="auto"/>
        <w:rPr>
          <w:rFonts w:ascii="Arial"/>
          <w:sz w:val="21"/>
        </w:rPr>
      </w:pPr>
    </w:p>
    <w:p>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pPr>
        <w:spacing w:line="252" w:lineRule="auto"/>
        <w:rPr>
          <w:rFonts w:ascii="Arial"/>
          <w:sz w:val="21"/>
        </w:rPr>
      </w:pPr>
    </w:p>
    <w:p>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pPr>
        <w:sectPr>
          <w:footerReference r:id="rId18" w:type="default"/>
          <w:pgSz w:w="11905" w:h="16840"/>
          <w:pgMar w:top="400" w:right="1284" w:bottom="615" w:left="1665" w:header="0" w:footer="454" w:gutter="0"/>
          <w:pgNumType w:fmt="numberInDash"/>
          <w:cols w:space="720" w:num="1"/>
        </w:sectPr>
      </w:pPr>
    </w:p>
    <w:p>
      <w:pPr>
        <w:spacing w:line="317" w:lineRule="auto"/>
        <w:rPr>
          <w:rFonts w:ascii="Arial"/>
          <w:sz w:val="21"/>
        </w:rPr>
      </w:pPr>
    </w:p>
    <w:p>
      <w:pPr>
        <w:spacing w:line="318" w:lineRule="auto"/>
        <w:rPr>
          <w:rFonts w:ascii="Arial"/>
          <w:sz w:val="21"/>
        </w:rPr>
      </w:pPr>
    </w:p>
    <w:p>
      <w:pPr>
        <w:spacing w:line="318" w:lineRule="auto"/>
        <w:rPr>
          <w:rFonts w:ascii="Arial"/>
          <w:sz w:val="21"/>
        </w:rPr>
      </w:pPr>
    </w:p>
    <w:p>
      <w:pPr>
        <w:numPr>
          <w:ilvl w:val="0"/>
          <w:numId w:val="4"/>
        </w:numPr>
        <w:spacing w:before="104" w:line="213" w:lineRule="auto"/>
        <w:ind w:left="3109"/>
        <w:outlineLvl w:val="6"/>
        <w:rPr>
          <w:rFonts w:ascii="仿宋" w:hAnsi="仿宋" w:eastAsia="仿宋" w:cs="仿宋"/>
          <w:spacing w:val="-7"/>
          <w:sz w:val="32"/>
          <w:szCs w:val="32"/>
          <w14:textOutline w14:w="4064" w14:cap="flat" w14:cmpd="sng">
            <w14:solidFill>
              <w14:srgbClr w14:val="000000"/>
            </w14:solidFill>
            <w14:prstDash w14:val="solid"/>
            <w14:miter w14:val="0"/>
          </w14:textOutline>
        </w:rPr>
      </w:pP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p>
      <w:pPr>
        <w:pStyle w:val="3"/>
        <w:numPr>
          <w:ilvl w:val="0"/>
          <w:numId w:val="0"/>
        </w:numPr>
      </w:pPr>
    </w:p>
    <w:tbl>
      <w:tblPr>
        <w:tblStyle w:val="8"/>
        <w:tblW w:w="816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932"/>
        <w:gridCol w:w="136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625" w:type="dxa"/>
            <w:vAlign w:val="top"/>
          </w:tcPr>
          <w:p>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932" w:type="dxa"/>
            <w:vAlign w:val="top"/>
          </w:tcPr>
          <w:p>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363" w:type="dxa"/>
            <w:vAlign w:val="top"/>
          </w:tcPr>
          <w:p>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8164" w:type="dxa"/>
            <w:gridSpan w:val="5"/>
            <w:vAlign w:val="top"/>
          </w:tcPr>
          <w:p>
            <w:pPr>
              <w:rPr>
                <w:rFonts w:hint="default" w:ascii="Arial" w:eastAsia="宋体"/>
                <w:sz w:val="21"/>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2024年 月 日</w:t>
            </w:r>
          </w:p>
        </w:tc>
      </w:tr>
    </w:tbl>
    <w:p>
      <w:pPr>
        <w:rPr>
          <w:rFonts w:ascii="Arial"/>
          <w:sz w:val="21"/>
        </w:rPr>
      </w:pPr>
    </w:p>
    <w:p>
      <w:pPr>
        <w:spacing w:line="241" w:lineRule="auto"/>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p/>
    <w:p>
      <w:pPr>
        <w:spacing w:line="59" w:lineRule="exact"/>
      </w:pPr>
    </w:p>
    <w:tbl>
      <w:tblPr>
        <w:tblStyle w:val="8"/>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pPr>
              <w:rPr>
                <w:rFonts w:ascii="Arial"/>
                <w:sz w:val="21"/>
              </w:rPr>
            </w:pPr>
          </w:p>
        </w:tc>
        <w:tc>
          <w:tcPr>
            <w:tcW w:w="2189" w:type="dxa"/>
            <w:gridSpan w:val="3"/>
            <w:vAlign w:val="top"/>
          </w:tcPr>
          <w:p>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pPr>
              <w:rPr>
                <w:rFonts w:ascii="Arial"/>
                <w:sz w:val="21"/>
              </w:rPr>
            </w:pPr>
          </w:p>
        </w:tc>
        <w:tc>
          <w:tcPr>
            <w:tcW w:w="1278" w:type="dxa"/>
            <w:gridSpan w:val="2"/>
            <w:vAlign w:val="top"/>
          </w:tcPr>
          <w:p>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pPr>
              <w:rPr>
                <w:rFonts w:ascii="Arial"/>
                <w:sz w:val="21"/>
              </w:rPr>
            </w:pPr>
          </w:p>
        </w:tc>
        <w:tc>
          <w:tcPr>
            <w:tcW w:w="1312" w:type="dxa"/>
            <w:gridSpan w:val="2"/>
            <w:vAlign w:val="top"/>
          </w:tcPr>
          <w:p>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pPr>
              <w:spacing w:line="379" w:lineRule="auto"/>
              <w:rPr>
                <w:rFonts w:ascii="Arial"/>
                <w:sz w:val="21"/>
              </w:rPr>
            </w:pPr>
          </w:p>
          <w:p>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pPr>
              <w:rPr>
                <w:rFonts w:ascii="Arial"/>
                <w:sz w:val="21"/>
              </w:rPr>
            </w:pPr>
          </w:p>
        </w:tc>
      </w:tr>
    </w:tbl>
    <w:p>
      <w:pPr>
        <w:spacing w:before="78" w:line="315" w:lineRule="exact"/>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b/>
          <w:bCs/>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六、投标人资格证明相关文件</w:t>
      </w:r>
    </w:p>
    <w:p>
      <w:pPr>
        <w:pStyle w:val="3"/>
        <w:jc w:val="center"/>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pPr>
        <w:pStyle w:val="3"/>
        <w:rPr>
          <w:rFonts w:ascii="仿宋" w:hAnsi="仿宋" w:eastAsia="仿宋" w:cs="仿宋"/>
          <w:sz w:val="24"/>
          <w:szCs w:val="24"/>
        </w:rPr>
      </w:pPr>
    </w:p>
    <w:p>
      <w:pPr>
        <w:spacing w:before="78" w:line="315" w:lineRule="exact"/>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甘肃圣康源生物科技有限公司</w:t>
    </w:r>
  </w:p>
  <w:p>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甘肃圣康源生物科技有限公司</w:t>
    </w:r>
  </w:p>
  <w:p>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pPr>
    <w:r>
      <w:rPr>
        <w:rFonts w:hint="eastAsia" w:ascii="仿宋" w:hAnsi="仿宋" w:eastAsia="仿宋" w:cs="仿宋"/>
        <w:spacing w:val="15"/>
        <w:sz w:val="21"/>
        <w:szCs w:val="21"/>
        <w:lang w:val="en-US" w:eastAsia="zh-CN"/>
      </w:rPr>
      <w:t xml:space="preserve">甘肃圣康源生物科技有限公司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0A15B8"/>
    <w:multiLevelType w:val="singleLevel"/>
    <w:tmpl w:val="A20A15B8"/>
    <w:lvl w:ilvl="0" w:tentative="0">
      <w:start w:val="1"/>
      <w:numFmt w:val="decimal"/>
      <w:suff w:val="nothing"/>
      <w:lvlText w:val="%1、"/>
      <w:lvlJc w:val="left"/>
    </w:lvl>
  </w:abstractNum>
  <w:abstractNum w:abstractNumId="1">
    <w:nsid w:val="1C86D58F"/>
    <w:multiLevelType w:val="singleLevel"/>
    <w:tmpl w:val="1C86D58F"/>
    <w:lvl w:ilvl="0" w:tentative="0">
      <w:start w:val="4"/>
      <w:numFmt w:val="chineseCounting"/>
      <w:suff w:val="nothing"/>
      <w:lvlText w:val="%1、"/>
      <w:lvlJc w:val="left"/>
      <w:rPr>
        <w:rFonts w:hint="eastAsia"/>
      </w:rPr>
    </w:lvl>
  </w:abstractNum>
  <w:abstractNum w:abstractNumId="2">
    <w:nsid w:val="6184672F"/>
    <w:multiLevelType w:val="singleLevel"/>
    <w:tmpl w:val="6184672F"/>
    <w:lvl w:ilvl="0" w:tentative="0">
      <w:start w:val="4"/>
      <w:numFmt w:val="chineseCounting"/>
      <w:suff w:val="nothing"/>
      <w:lvlText w:val="%1、"/>
      <w:lvlJc w:val="left"/>
      <w:rPr>
        <w:rFonts w:hint="eastAsia"/>
      </w:rPr>
    </w:lvl>
  </w:abstractNum>
  <w:abstractNum w:abstractNumId="3">
    <w:nsid w:val="6A87ED74"/>
    <w:multiLevelType w:val="singleLevel"/>
    <w:tmpl w:val="6A87ED74"/>
    <w:lvl w:ilvl="0" w:tentative="0">
      <w:start w:val="2"/>
      <w:numFmt w:val="chineseCounting"/>
      <w:suff w:val="space"/>
      <w:lvlText w:val="第%1章"/>
      <w:lvlJc w:val="left"/>
      <w:rPr>
        <w:rFonts w:hint="eastAsia"/>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24258C3"/>
    <w:rsid w:val="06D945E7"/>
    <w:rsid w:val="078925D1"/>
    <w:rsid w:val="0DE27F62"/>
    <w:rsid w:val="10397C31"/>
    <w:rsid w:val="118B6606"/>
    <w:rsid w:val="12C84698"/>
    <w:rsid w:val="146B4B15"/>
    <w:rsid w:val="18592A91"/>
    <w:rsid w:val="1A095C94"/>
    <w:rsid w:val="1DBB4AB2"/>
    <w:rsid w:val="22887589"/>
    <w:rsid w:val="2347772C"/>
    <w:rsid w:val="24822870"/>
    <w:rsid w:val="29CD5873"/>
    <w:rsid w:val="33A74661"/>
    <w:rsid w:val="3E35385B"/>
    <w:rsid w:val="3F902606"/>
    <w:rsid w:val="40081B38"/>
    <w:rsid w:val="4445400D"/>
    <w:rsid w:val="49586BD3"/>
    <w:rsid w:val="54B86364"/>
    <w:rsid w:val="56B65133"/>
    <w:rsid w:val="59270DD1"/>
    <w:rsid w:val="59A815AC"/>
    <w:rsid w:val="5FD32137"/>
    <w:rsid w:val="60561B0D"/>
    <w:rsid w:val="631725C7"/>
    <w:rsid w:val="6D2A04ED"/>
    <w:rsid w:val="6F59695A"/>
    <w:rsid w:val="707B5D4B"/>
    <w:rsid w:val="72E578B2"/>
    <w:rsid w:val="74CC105E"/>
    <w:rsid w:val="7AF7326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2">
    <w:name w:val="heading 1"/>
    <w:basedOn w:val="1"/>
    <w:autoRedefine/>
    <w:qFormat/>
    <w:uiPriority w:val="1"/>
    <w:pPr>
      <w:ind w:left="1420"/>
      <w:outlineLvl w:val="1"/>
    </w:pPr>
    <w:rPr>
      <w:rFonts w:ascii="宋体" w:hAnsi="宋体" w:eastAsia="宋体" w:cs="宋体"/>
      <w:b/>
      <w:bCs/>
      <w:sz w:val="24"/>
      <w:szCs w:val="24"/>
      <w:lang w:val="zh-CN" w:eastAsia="zh-CN" w:bidi="zh-CN"/>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Body Text"/>
    <w:basedOn w:val="1"/>
    <w:autoRedefine/>
    <w:qFormat/>
    <w:uiPriority w:val="1"/>
    <w:rPr>
      <w:rFonts w:ascii="宋体" w:hAnsi="宋体" w:eastAsia="宋体" w:cs="宋体"/>
      <w:sz w:val="24"/>
      <w:szCs w:val="24"/>
      <w:lang w:val="zh-CN" w:eastAsia="zh-CN" w:bidi="zh-CN"/>
    </w:rPr>
  </w:style>
  <w:style w:type="paragraph" w:styleId="4">
    <w:name w:val="footer"/>
    <w:basedOn w:val="1"/>
    <w:autoRedefine/>
    <w:qFormat/>
    <w:uiPriority w:val="0"/>
    <w:pPr>
      <w:tabs>
        <w:tab w:val="center" w:pos="4153"/>
        <w:tab w:val="right" w:pos="8306"/>
      </w:tabs>
      <w:snapToGrid w:val="0"/>
      <w:jc w:val="left"/>
    </w:pPr>
    <w:rPr>
      <w:sz w:val="18"/>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
    <w:name w:val="Table Normal"/>
    <w:autoRedefine/>
    <w:semiHidden/>
    <w:unhideWhenUsed/>
    <w:qFormat/>
    <w:uiPriority w:val="0"/>
    <w:tblPr>
      <w:tblCellMar>
        <w:top w:w="0" w:type="dxa"/>
        <w:left w:w="0" w:type="dxa"/>
        <w:bottom w:w="0" w:type="dxa"/>
        <w:right w:w="0" w:type="dxa"/>
      </w:tblCellMar>
    </w:tblPr>
  </w:style>
  <w:style w:type="paragraph" w:customStyle="1" w:styleId="9">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1663</Words>
  <Characters>1806</Characters>
  <TotalTime>0</TotalTime>
  <ScaleCrop>false</ScaleCrop>
  <LinksUpToDate>false</LinksUpToDate>
  <CharactersWithSpaces>2809</CharactersWithSpaces>
  <Application>WPS Office_12.1.0.16729_F1E327BC-269C-435d-A152-05C5408002CA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2024-05-14T01:35:56Z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2052-12.1.0.16729</vt:lpwstr>
  </property>
  <property fmtid="{D5CDD505-2E9C-101B-9397-08002B2CF9AE}" pid="5" name="ICV">
    <vt:lpwstr>84D2111B49C245049189463BF748E38D_12</vt:lpwstr>
  </property>
</Properties>
</file>